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657" w:rsidRPr="00A871EB" w:rsidRDefault="004A55CF" w:rsidP="00961657">
      <w:pPr>
        <w:rPr>
          <w:b/>
          <w:color w:val="76923C" w:themeColor="accent3" w:themeShade="BF"/>
          <w:sz w:val="32"/>
          <w:szCs w:val="32"/>
        </w:rPr>
      </w:pPr>
      <w:bookmarkStart w:id="0" w:name="_GoBack"/>
      <w:bookmarkEnd w:id="0"/>
      <w:r w:rsidRPr="00A871EB">
        <w:rPr>
          <w:b/>
          <w:color w:val="76923C" w:themeColor="accent3" w:themeShade="BF"/>
          <w:sz w:val="32"/>
          <w:szCs w:val="32"/>
        </w:rPr>
        <w:t>Fiche synthèse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6368"/>
      </w:tblGrid>
      <w:tr w:rsidR="00961657" w:rsidTr="004A55CF"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657" w:rsidRPr="00A871EB" w:rsidRDefault="00961657">
            <w:pPr>
              <w:rPr>
                <w:color w:val="2F5597"/>
              </w:rPr>
            </w:pPr>
            <w:r w:rsidRPr="00A871EB">
              <w:rPr>
                <w:color w:val="2F5597"/>
              </w:rPr>
              <w:t>Nom du document</w:t>
            </w:r>
          </w:p>
        </w:tc>
        <w:tc>
          <w:tcPr>
            <w:tcW w:w="6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657" w:rsidRDefault="00444C32">
            <w:pPr>
              <w:rPr>
                <w:color w:val="2F5597"/>
              </w:rPr>
            </w:pPr>
            <w:r>
              <w:rPr>
                <w:color w:val="2F5597"/>
              </w:rPr>
              <w:t>Stratégie de l'électromobilité 2030</w:t>
            </w:r>
          </w:p>
        </w:tc>
      </w:tr>
      <w:tr w:rsidR="004A55CF" w:rsidTr="004A55CF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CF" w:rsidRPr="00A871EB" w:rsidRDefault="004A55CF">
            <w:pPr>
              <w:rPr>
                <w:color w:val="2F5597"/>
              </w:rPr>
            </w:pPr>
            <w:r w:rsidRPr="00A871EB">
              <w:rPr>
                <w:color w:val="2F5597"/>
              </w:rPr>
              <w:t>Timing plan -document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CF" w:rsidRDefault="004E385F">
            <w:pPr>
              <w:rPr>
                <w:color w:val="2F5597"/>
              </w:rPr>
            </w:pPr>
            <w:r>
              <w:rPr>
                <w:color w:val="2F5597"/>
              </w:rPr>
              <w:t>2018-2030</w:t>
            </w:r>
          </w:p>
        </w:tc>
      </w:tr>
      <w:tr w:rsidR="00961657" w:rsidTr="004A55CF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657" w:rsidRPr="00A871EB" w:rsidRDefault="00961657">
            <w:pPr>
              <w:rPr>
                <w:color w:val="2F5597"/>
              </w:rPr>
            </w:pPr>
            <w:r w:rsidRPr="00A871EB">
              <w:rPr>
                <w:color w:val="2F5597"/>
              </w:rPr>
              <w:t>Auteurs et départements concernés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C32" w:rsidRPr="00444C32" w:rsidRDefault="00444C32">
            <w:pPr>
              <w:rPr>
                <w:color w:val="2F5597"/>
              </w:rPr>
            </w:pPr>
            <w:r w:rsidRPr="00444C32">
              <w:rPr>
                <w:color w:val="2F5597"/>
              </w:rPr>
              <w:t>Département du territoire (DT)</w:t>
            </w:r>
          </w:p>
          <w:p w:rsidR="00444C32" w:rsidRDefault="00444C32">
            <w:pPr>
              <w:rPr>
                <w:color w:val="2F5597"/>
              </w:rPr>
            </w:pPr>
            <w:r w:rsidRPr="00444C32">
              <w:rPr>
                <w:color w:val="2F5597"/>
              </w:rPr>
              <w:t>Office cantonal de l'environnement (OCEV)</w:t>
            </w:r>
          </w:p>
          <w:p w:rsidR="00444C32" w:rsidRDefault="00444C32">
            <w:pPr>
              <w:rPr>
                <w:color w:val="2F5597"/>
              </w:rPr>
            </w:pPr>
            <w:r w:rsidRPr="00444C32">
              <w:rPr>
                <w:color w:val="2F5597"/>
              </w:rPr>
              <w:t>Service de l’air, du bruit et des rayonnements non ionisants (SABRA)</w:t>
            </w:r>
          </w:p>
        </w:tc>
      </w:tr>
      <w:tr w:rsidR="004A55CF" w:rsidTr="004A55CF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CF" w:rsidRPr="004E385F" w:rsidRDefault="004A55CF">
            <w:pPr>
              <w:rPr>
                <w:rFonts w:asciiTheme="minorHAnsi" w:hAnsiTheme="minorHAnsi" w:cstheme="minorHAnsi"/>
                <w:color w:val="2F5597"/>
              </w:rPr>
            </w:pPr>
            <w:r w:rsidRPr="004E385F">
              <w:rPr>
                <w:rFonts w:asciiTheme="minorHAnsi" w:hAnsiTheme="minorHAnsi" w:cstheme="minorHAnsi"/>
                <w:color w:val="2F5597"/>
              </w:rPr>
              <w:t>Contexte et enjeux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6B6" w:rsidRPr="004E385F" w:rsidRDefault="00BE06B6" w:rsidP="00BE06B6">
            <w:pPr>
              <w:pStyle w:val="Paragraphedeliste"/>
              <w:numPr>
                <w:ilvl w:val="0"/>
                <w:numId w:val="3"/>
              </w:numPr>
              <w:ind w:left="320" w:hanging="284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  <w:r w:rsidRPr="004E385F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 xml:space="preserve">Lutter contre pollution atmosphérique qui est à l’origine d’un grand nombre de maladies et de décès prématurés; </w:t>
            </w:r>
          </w:p>
          <w:p w:rsidR="00BE06B6" w:rsidRDefault="00BE06B6" w:rsidP="00BE06B6">
            <w:pPr>
              <w:pStyle w:val="Paragraphedeliste"/>
              <w:numPr>
                <w:ilvl w:val="0"/>
                <w:numId w:val="3"/>
              </w:numPr>
              <w:ind w:left="320" w:hanging="284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  <w:r w:rsidRPr="004E385F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Lutter contre le bruit routier qui représente un fléau pour la qualité de vie et une menace pour la santé</w:t>
            </w:r>
          </w:p>
          <w:p w:rsidR="00BE06B6" w:rsidRPr="008D5A56" w:rsidRDefault="007575A6" w:rsidP="008D5A56">
            <w:pPr>
              <w:pStyle w:val="Paragraphedeliste"/>
              <w:numPr>
                <w:ilvl w:val="0"/>
                <w:numId w:val="3"/>
              </w:numPr>
              <w:ind w:left="320" w:hanging="284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S'affranchir de l</w:t>
            </w:r>
            <w:r w:rsidR="00BE06B6" w:rsidRPr="004E385F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a dépendance aux énergies fossiles et de ses corollaires fluctuations du prix du baril de pétrole et du gaz</w:t>
            </w:r>
          </w:p>
        </w:tc>
      </w:tr>
      <w:tr w:rsidR="004A55CF" w:rsidTr="004A55CF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CF" w:rsidRPr="00A871EB" w:rsidRDefault="004A55CF">
            <w:pPr>
              <w:rPr>
                <w:color w:val="2F5597"/>
              </w:rPr>
            </w:pPr>
            <w:r w:rsidRPr="00A871EB">
              <w:rPr>
                <w:color w:val="2F5597"/>
              </w:rPr>
              <w:t>Chiffres clés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A56" w:rsidRDefault="008D5A56" w:rsidP="008D5A56">
            <w:pPr>
              <w:pStyle w:val="Paragraphedeliste"/>
              <w:numPr>
                <w:ilvl w:val="0"/>
                <w:numId w:val="3"/>
              </w:numPr>
              <w:ind w:left="320" w:hanging="284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L</w:t>
            </w:r>
            <w:r w:rsidRPr="00BE06B6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e trafic motorisé individuel représente près de 36.1% de l’énergie consommée, une énergie à 95% d’origine fossile</w:t>
            </w:r>
            <w:r w:rsidR="007575A6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 xml:space="preserve"> en Suisse</w:t>
            </w:r>
            <w:r w:rsidRPr="00BE06B6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.</w:t>
            </w:r>
          </w:p>
          <w:p w:rsidR="004A55CF" w:rsidRPr="007575A6" w:rsidRDefault="008D5A56" w:rsidP="008D5A56">
            <w:pPr>
              <w:pStyle w:val="Paragraphedeliste"/>
              <w:numPr>
                <w:ilvl w:val="0"/>
                <w:numId w:val="3"/>
              </w:numPr>
              <w:ind w:left="320" w:hanging="284"/>
              <w:rPr>
                <w:color w:val="2F5597"/>
              </w:rPr>
            </w:pPr>
            <w:r w:rsidRPr="00BE06B6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Le secteur des transports représente plus de 40% des émissions de CO2</w:t>
            </w:r>
            <w:r w:rsidR="007575A6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 xml:space="preserve"> </w:t>
            </w:r>
            <w:r w:rsidR="007575A6" w:rsidRPr="00BE06B6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à Genève</w:t>
            </w:r>
            <w:r w:rsidRPr="00BE06B6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.</w:t>
            </w:r>
          </w:p>
          <w:p w:rsidR="007575A6" w:rsidRDefault="007575A6" w:rsidP="008D5A56">
            <w:pPr>
              <w:pStyle w:val="Paragraphedeliste"/>
              <w:numPr>
                <w:ilvl w:val="0"/>
                <w:numId w:val="3"/>
              </w:numPr>
              <w:ind w:left="320" w:hanging="284"/>
              <w:rPr>
                <w:color w:val="2F5597"/>
              </w:rPr>
            </w:pPr>
            <w:r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L</w:t>
            </w:r>
            <w:r w:rsidRPr="004E385F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 xml:space="preserve">es coûts de la santé </w:t>
            </w:r>
            <w:r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 xml:space="preserve">liés à la pollution de l'air sont </w:t>
            </w:r>
            <w:r w:rsidRPr="004E385F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de l’ordre de 4 milliards de francs par an en Suisse</w:t>
            </w:r>
          </w:p>
        </w:tc>
      </w:tr>
      <w:tr w:rsidR="004A55CF" w:rsidTr="004A55CF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CF" w:rsidRPr="00A871EB" w:rsidRDefault="004A55CF">
            <w:pPr>
              <w:rPr>
                <w:color w:val="2F5597"/>
              </w:rPr>
            </w:pPr>
            <w:r w:rsidRPr="00A871EB">
              <w:rPr>
                <w:color w:val="2F5597"/>
              </w:rPr>
              <w:t>Principaux objectifs visés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85F" w:rsidRPr="008D5A56" w:rsidRDefault="00D15DFB" w:rsidP="008D5A56">
            <w:pPr>
              <w:pStyle w:val="Paragraphedeliste"/>
              <w:numPr>
                <w:ilvl w:val="0"/>
                <w:numId w:val="3"/>
              </w:numPr>
              <w:ind w:left="320" w:hanging="284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D</w:t>
            </w:r>
            <w:r w:rsidR="008D5A56" w:rsidRPr="008D5A56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éveloppement de l'infrastructure de recharge</w:t>
            </w:r>
            <w:r w:rsidR="008D5A56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 xml:space="preserve"> / bornes électriques</w:t>
            </w:r>
          </w:p>
        </w:tc>
      </w:tr>
      <w:tr w:rsidR="00961657" w:rsidTr="004A55CF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657" w:rsidRPr="00A871EB" w:rsidRDefault="004A55CF">
            <w:pPr>
              <w:rPr>
                <w:color w:val="2F5597"/>
              </w:rPr>
            </w:pPr>
            <w:r w:rsidRPr="00A871EB">
              <w:rPr>
                <w:color w:val="2F5597"/>
              </w:rPr>
              <w:t>Actions envisagées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85F" w:rsidRPr="00CC5315" w:rsidRDefault="00CC5315" w:rsidP="00CC5315">
            <w:pPr>
              <w:rPr>
                <w:rFonts w:asciiTheme="minorHAnsi" w:hAnsiTheme="minorHAnsi" w:cstheme="minorHAnsi"/>
                <w:color w:val="2F5597"/>
              </w:rPr>
            </w:pPr>
            <w:r>
              <w:rPr>
                <w:color w:val="2F5597"/>
              </w:rPr>
              <w:t xml:space="preserve">Le document ne précise pas d'actions/objectifs précis post-2020 concernant le développement de </w:t>
            </w:r>
            <w:r w:rsidRPr="008D5A56">
              <w:rPr>
                <w:rFonts w:asciiTheme="minorHAnsi" w:hAnsiTheme="minorHAnsi" w:cstheme="minorHAnsi"/>
                <w:color w:val="2F5597"/>
              </w:rPr>
              <w:t>l'infrastructure de recharge</w:t>
            </w:r>
            <w:r>
              <w:rPr>
                <w:rFonts w:asciiTheme="minorHAnsi" w:hAnsiTheme="minorHAnsi" w:cstheme="minorHAnsi"/>
                <w:color w:val="2F5597"/>
              </w:rPr>
              <w:t xml:space="preserve"> sur le Canton</w:t>
            </w:r>
          </w:p>
        </w:tc>
      </w:tr>
      <w:tr w:rsidR="00961657" w:rsidTr="004A55CF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657" w:rsidRPr="00A871EB" w:rsidRDefault="00A871EB">
            <w:pPr>
              <w:rPr>
                <w:color w:val="2F5597"/>
              </w:rPr>
            </w:pPr>
            <w:r w:rsidRPr="00A871EB">
              <w:rPr>
                <w:b/>
                <w:color w:val="2F5597"/>
              </w:rPr>
              <w:t>Actions en l</w:t>
            </w:r>
            <w:r w:rsidR="004A55CF" w:rsidRPr="00A871EB">
              <w:rPr>
                <w:b/>
                <w:color w:val="2F5597"/>
              </w:rPr>
              <w:t>ien avec le RTE</w:t>
            </w:r>
            <w:r w:rsidRPr="00A871EB">
              <w:rPr>
                <w:color w:val="2F5597"/>
              </w:rPr>
              <w:t> : projets DD, écologie, porteurs projets, communes envisagées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4BD" w:rsidRPr="008D5A56" w:rsidRDefault="004E385F" w:rsidP="008D5A56">
            <w:pPr>
              <w:pStyle w:val="Paragraphedeliste"/>
              <w:numPr>
                <w:ilvl w:val="0"/>
                <w:numId w:val="3"/>
              </w:numPr>
              <w:ind w:left="320" w:hanging="284"/>
              <w:rPr>
                <w:color w:val="2F5597"/>
              </w:rPr>
            </w:pPr>
            <w:r w:rsidRPr="007134BD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Les communes sont appelées à soutenir l’électromobilité en installant des bornes dans leurs parkings et en transformant leurs flottes.</w:t>
            </w:r>
          </w:p>
        </w:tc>
      </w:tr>
      <w:tr w:rsidR="00961657" w:rsidTr="004A55CF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657" w:rsidRPr="00A871EB" w:rsidRDefault="00A871EB">
            <w:pPr>
              <w:rPr>
                <w:color w:val="2F5597"/>
              </w:rPr>
            </w:pPr>
            <w:r w:rsidRPr="00A871EB">
              <w:rPr>
                <w:color w:val="2F5597"/>
              </w:rPr>
              <w:t>Lien avec l’employabilité : formation -création emploi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657" w:rsidRPr="008D5A56" w:rsidRDefault="00BE06B6" w:rsidP="008D5A56">
            <w:pPr>
              <w:pStyle w:val="Paragraphedeliste"/>
              <w:numPr>
                <w:ilvl w:val="0"/>
                <w:numId w:val="3"/>
              </w:numPr>
              <w:ind w:left="320" w:hanging="284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  <w:r w:rsidRPr="008D5A56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É</w:t>
            </w:r>
            <w:r w:rsidR="007134BD" w:rsidRPr="008D5A56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lectriciens</w:t>
            </w:r>
          </w:p>
          <w:p w:rsidR="00BE06B6" w:rsidRPr="008D5A56" w:rsidRDefault="00E431B9" w:rsidP="00CC5315">
            <w:pPr>
              <w:pStyle w:val="Paragraphedeliste"/>
              <w:numPr>
                <w:ilvl w:val="0"/>
                <w:numId w:val="3"/>
              </w:numPr>
              <w:ind w:left="320" w:hanging="284"/>
              <w:rPr>
                <w:color w:val="2F5597"/>
              </w:rPr>
            </w:pPr>
            <w:r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 xml:space="preserve">Partenaires possibles: </w:t>
            </w:r>
            <w:r w:rsidR="00BE06B6" w:rsidRPr="008D5A56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Fondation des Parkings (</w:t>
            </w:r>
            <w:proofErr w:type="spellStart"/>
            <w:r w:rsidR="00BE06B6" w:rsidRPr="008D5A56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FdP</w:t>
            </w:r>
            <w:proofErr w:type="spellEnd"/>
            <w:r w:rsidR="00BE06B6" w:rsidRPr="008D5A56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), Services industriels (SIG)</w:t>
            </w:r>
            <w:r w:rsidR="008D5A56" w:rsidRPr="008D5A56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 xml:space="preserve">, </w:t>
            </w:r>
            <w:r w:rsidR="00CC5315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entreprises, commerces</w:t>
            </w:r>
            <w:r w:rsidR="008D5A56" w:rsidRPr="008D5A56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, propriétaires d'immeubles et de parkings</w:t>
            </w:r>
            <w:r w:rsidR="008D5A56" w:rsidRPr="008D5A56">
              <w:rPr>
                <w:color w:val="2F5597"/>
              </w:rPr>
              <w:t xml:space="preserve"> </w:t>
            </w:r>
          </w:p>
        </w:tc>
      </w:tr>
      <w:tr w:rsidR="00961657" w:rsidTr="004A55CF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657" w:rsidRPr="00A871EB" w:rsidRDefault="004A55CF">
            <w:pPr>
              <w:rPr>
                <w:color w:val="2F5597"/>
              </w:rPr>
            </w:pPr>
            <w:r w:rsidRPr="00A871EB">
              <w:rPr>
                <w:color w:val="2F5597"/>
              </w:rPr>
              <w:t>Remarques</w:t>
            </w:r>
            <w:r w:rsidR="009556BA">
              <w:rPr>
                <w:color w:val="2F5597"/>
              </w:rPr>
              <w:t xml:space="preserve"> – 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4BD" w:rsidRPr="008D5A56" w:rsidRDefault="00BE06B6" w:rsidP="008D5A56">
            <w:pPr>
              <w:pStyle w:val="Paragraphedeliste"/>
              <w:numPr>
                <w:ilvl w:val="0"/>
                <w:numId w:val="3"/>
              </w:numPr>
              <w:ind w:left="320" w:hanging="284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  <w:r w:rsidRPr="008D5A56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L'enjeu de cette stratégie concerne principalement l'installation de borne de rech</w:t>
            </w:r>
            <w:r w:rsidR="00E431B9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arge</w:t>
            </w:r>
            <w:r w:rsidRPr="008D5A56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 xml:space="preserve"> électrique</w:t>
            </w:r>
            <w:r w:rsidR="008D5A56" w:rsidRPr="008D5A56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 xml:space="preserve"> sur le canton.</w:t>
            </w:r>
          </w:p>
          <w:p w:rsidR="008D5A56" w:rsidRPr="00CC5315" w:rsidRDefault="008D5A56" w:rsidP="008D5A56">
            <w:pPr>
              <w:pStyle w:val="Paragraphedeliste"/>
              <w:numPr>
                <w:ilvl w:val="0"/>
                <w:numId w:val="3"/>
              </w:numPr>
              <w:ind w:left="320" w:hanging="284"/>
              <w:rPr>
                <w:color w:val="2F5597"/>
              </w:rPr>
            </w:pPr>
            <w:r w:rsidRPr="008D5A56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Comme elle a été écrite en 2017, elle ne tient pas compte des études récentes concernant l'impact environnemental des véhicules électrique</w:t>
            </w:r>
            <w:r w:rsidR="00D15DFB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s</w:t>
            </w:r>
            <w:r w:rsidR="007575A6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, ni de la probable interdiction de la vente de nouveaux véhicule thermique à l'horizon 2030</w:t>
            </w:r>
          </w:p>
          <w:p w:rsidR="00CC5315" w:rsidRPr="008D5A56" w:rsidRDefault="00CC5315" w:rsidP="00CC5315">
            <w:pPr>
              <w:pStyle w:val="Paragraphedeliste"/>
              <w:numPr>
                <w:ilvl w:val="0"/>
                <w:numId w:val="3"/>
              </w:numPr>
              <w:ind w:left="320" w:hanging="284"/>
              <w:rPr>
                <w:color w:val="2F5597"/>
              </w:rPr>
            </w:pPr>
            <w:r w:rsidRPr="00CC5315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 xml:space="preserve">Un groupe de travail a été constitué (avec notamment DT, DEE, DSPS, SIG, </w:t>
            </w:r>
            <w:proofErr w:type="spellStart"/>
            <w:r w:rsidRPr="00CC5315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FdP</w:t>
            </w:r>
            <w:proofErr w:type="spellEnd"/>
            <w:r w:rsidRPr="00CC5315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, TPG)</w:t>
            </w:r>
          </w:p>
        </w:tc>
      </w:tr>
      <w:tr w:rsidR="00961657" w:rsidTr="004A55CF"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657" w:rsidRPr="00A871EB" w:rsidRDefault="009556BA">
            <w:pPr>
              <w:rPr>
                <w:color w:val="2F5597"/>
              </w:rPr>
            </w:pPr>
            <w:r>
              <w:rPr>
                <w:color w:val="2F5597"/>
              </w:rPr>
              <w:t>Références à d’autres documents importants</w:t>
            </w:r>
          </w:p>
        </w:tc>
        <w:tc>
          <w:tcPr>
            <w:tcW w:w="63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657" w:rsidRPr="008D5A56" w:rsidRDefault="008D5A56" w:rsidP="008D5A56">
            <w:pPr>
              <w:pStyle w:val="Paragraphedeliste"/>
              <w:numPr>
                <w:ilvl w:val="0"/>
                <w:numId w:val="3"/>
              </w:numPr>
              <w:ind w:left="320" w:hanging="284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  <w:r w:rsidRPr="008D5A56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M</w:t>
            </w:r>
            <w:r w:rsidR="007134BD" w:rsidRPr="008D5A56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otion 12.3652 « Elaboration d’un plan directeur pour un développement intelligent de l’électromobilité » de la Commission de l’environnement, de l’aménagement du territoire et de l’énergie du Conseil national (CEATE-N)</w:t>
            </w:r>
          </w:p>
          <w:p w:rsidR="007134BD" w:rsidRPr="008D5A56" w:rsidRDefault="007134BD" w:rsidP="008D5A56">
            <w:pPr>
              <w:pStyle w:val="Paragraphedeliste"/>
              <w:numPr>
                <w:ilvl w:val="0"/>
                <w:numId w:val="3"/>
              </w:numPr>
              <w:ind w:left="320" w:hanging="284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  <w:r w:rsidRPr="008D5A56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Stratégie énergétique 2050 (Suisse)</w:t>
            </w:r>
          </w:p>
          <w:p w:rsidR="007134BD" w:rsidRDefault="007134BD" w:rsidP="008D5A56">
            <w:pPr>
              <w:pStyle w:val="Paragraphedeliste"/>
              <w:numPr>
                <w:ilvl w:val="0"/>
                <w:numId w:val="3"/>
              </w:numPr>
              <w:ind w:left="320" w:hanging="284"/>
              <w:rPr>
                <w:color w:val="2F5597"/>
              </w:rPr>
            </w:pPr>
            <w:r w:rsidRPr="008D5A56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Stratégie de protection de l’air 2030 (Genève)</w:t>
            </w:r>
          </w:p>
        </w:tc>
      </w:tr>
      <w:tr w:rsidR="004A55CF" w:rsidTr="00CC5315">
        <w:trPr>
          <w:trHeight w:val="14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CF" w:rsidRPr="00A871EB" w:rsidRDefault="004A55CF">
            <w:pPr>
              <w:rPr>
                <w:color w:val="2F5597"/>
              </w:rPr>
            </w:pPr>
          </w:p>
        </w:tc>
        <w:tc>
          <w:tcPr>
            <w:tcW w:w="6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CF" w:rsidRDefault="004A55CF">
            <w:pPr>
              <w:rPr>
                <w:color w:val="2F5597"/>
              </w:rPr>
            </w:pPr>
          </w:p>
        </w:tc>
      </w:tr>
    </w:tbl>
    <w:p w:rsidR="00961657" w:rsidRDefault="00961657" w:rsidP="00961657">
      <w:pPr>
        <w:rPr>
          <w:color w:val="1F497D"/>
        </w:rPr>
      </w:pPr>
    </w:p>
    <w:p w:rsidR="00957865" w:rsidRDefault="00957865"/>
    <w:sectPr w:rsidR="009578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96F" w:rsidRDefault="00F0296F" w:rsidP="00F0296F">
      <w:r>
        <w:separator/>
      </w:r>
    </w:p>
  </w:endnote>
  <w:endnote w:type="continuationSeparator" w:id="0">
    <w:p w:rsidR="00F0296F" w:rsidRDefault="00F0296F" w:rsidP="00F0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96F" w:rsidRDefault="00F0296F" w:rsidP="00F0296F">
      <w:r>
        <w:separator/>
      </w:r>
    </w:p>
  </w:footnote>
  <w:footnote w:type="continuationSeparator" w:id="0">
    <w:p w:rsidR="00F0296F" w:rsidRDefault="00F0296F" w:rsidP="00F02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96F" w:rsidRPr="007048A0" w:rsidRDefault="001666A5" w:rsidP="007048A0">
    <w:pPr>
      <w:pStyle w:val="En-tte"/>
      <w:jc w:val="center"/>
      <w:rPr>
        <w:b/>
        <w:color w:val="76923C" w:themeColor="accent3" w:themeShade="BF"/>
      </w:rPr>
    </w:pPr>
    <w:sdt>
      <w:sdtPr>
        <w:rPr>
          <w:b/>
          <w:color w:val="76923C" w:themeColor="accent3" w:themeShade="BF"/>
        </w:rPr>
        <w:id w:val="473412542"/>
        <w:docPartObj>
          <w:docPartGallery w:val="Page Numbers (Margins)"/>
          <w:docPartUnique/>
        </w:docPartObj>
      </w:sdtPr>
      <w:sdtEndPr/>
      <w:sdtContent>
        <w:r w:rsidR="00F0296F" w:rsidRPr="007048A0">
          <w:rPr>
            <w:b/>
            <w:noProof/>
            <w:color w:val="76923C" w:themeColor="accent3" w:themeShade="BF"/>
            <w:lang w:eastAsia="fr-CH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F0296F" w:rsidRDefault="00F0296F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 w:rsidR="00E431B9" w:rsidRPr="00E431B9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fr-FR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F0296F" w:rsidRDefault="00F0296F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 w:rsidR="00E431B9" w:rsidRPr="00E431B9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048A0" w:rsidRPr="007048A0">
      <w:rPr>
        <w:b/>
        <w:color w:val="76923C" w:themeColor="accent3" w:themeShade="BF"/>
      </w:rPr>
      <w:t>Un revenu de transition écologique à Genève : phase préliminaire</w:t>
    </w:r>
  </w:p>
  <w:p w:rsidR="007048A0" w:rsidRPr="007048A0" w:rsidRDefault="007048A0" w:rsidP="007048A0">
    <w:pPr>
      <w:pStyle w:val="En-tte"/>
      <w:jc w:val="center"/>
      <w:rPr>
        <w:b/>
        <w:color w:val="76923C" w:themeColor="accent3" w:themeShade="BF"/>
      </w:rPr>
    </w:pPr>
    <w:r w:rsidRPr="007048A0">
      <w:rPr>
        <w:b/>
        <w:color w:val="76923C" w:themeColor="accent3" w:themeShade="BF"/>
      </w:rPr>
      <w:t>Lecture et synthèse de documents – plans cantonaux</w:t>
    </w:r>
  </w:p>
  <w:p w:rsidR="007048A0" w:rsidRDefault="007048A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509B1"/>
    <w:multiLevelType w:val="hybridMultilevel"/>
    <w:tmpl w:val="E850C1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13E92"/>
    <w:multiLevelType w:val="hybridMultilevel"/>
    <w:tmpl w:val="E37CB7D4"/>
    <w:lvl w:ilvl="0" w:tplc="CD468BE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D4A8A"/>
    <w:multiLevelType w:val="hybridMultilevel"/>
    <w:tmpl w:val="5EC64C2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431DE"/>
    <w:multiLevelType w:val="hybridMultilevel"/>
    <w:tmpl w:val="B4EC6E42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52EAC"/>
    <w:multiLevelType w:val="hybridMultilevel"/>
    <w:tmpl w:val="6974FB6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657"/>
    <w:rsid w:val="000B193C"/>
    <w:rsid w:val="001666A5"/>
    <w:rsid w:val="001D6A2D"/>
    <w:rsid w:val="00303BCB"/>
    <w:rsid w:val="0032282B"/>
    <w:rsid w:val="00443171"/>
    <w:rsid w:val="00444C32"/>
    <w:rsid w:val="004A55CF"/>
    <w:rsid w:val="004B2EA7"/>
    <w:rsid w:val="004C43C6"/>
    <w:rsid w:val="004E385F"/>
    <w:rsid w:val="004F6B9E"/>
    <w:rsid w:val="005D6D9F"/>
    <w:rsid w:val="006057CE"/>
    <w:rsid w:val="006221B2"/>
    <w:rsid w:val="006930F0"/>
    <w:rsid w:val="007048A0"/>
    <w:rsid w:val="007134BD"/>
    <w:rsid w:val="00740DE7"/>
    <w:rsid w:val="00751076"/>
    <w:rsid w:val="007575A6"/>
    <w:rsid w:val="007A23AA"/>
    <w:rsid w:val="007B226F"/>
    <w:rsid w:val="00862E28"/>
    <w:rsid w:val="008769EC"/>
    <w:rsid w:val="008978C8"/>
    <w:rsid w:val="008A471A"/>
    <w:rsid w:val="008C0BA3"/>
    <w:rsid w:val="008D5A56"/>
    <w:rsid w:val="009556BA"/>
    <w:rsid w:val="00957865"/>
    <w:rsid w:val="00961657"/>
    <w:rsid w:val="009675D5"/>
    <w:rsid w:val="00A45F81"/>
    <w:rsid w:val="00A871EB"/>
    <w:rsid w:val="00A87322"/>
    <w:rsid w:val="00AD05E2"/>
    <w:rsid w:val="00B02E39"/>
    <w:rsid w:val="00B13FB3"/>
    <w:rsid w:val="00BE06B6"/>
    <w:rsid w:val="00C04C25"/>
    <w:rsid w:val="00C220CB"/>
    <w:rsid w:val="00C330F9"/>
    <w:rsid w:val="00CC5315"/>
    <w:rsid w:val="00CF3505"/>
    <w:rsid w:val="00D15DFB"/>
    <w:rsid w:val="00E431B9"/>
    <w:rsid w:val="00EA3670"/>
    <w:rsid w:val="00F0296F"/>
    <w:rsid w:val="00F36D45"/>
    <w:rsid w:val="00FD6F9A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266EEB0A-CC36-408C-BBFF-E5903480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657"/>
    <w:pPr>
      <w:spacing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29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296F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F029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296F"/>
    <w:rPr>
      <w:rFonts w:ascii="Calibri" w:hAnsi="Calibri" w:cs="Calibri"/>
    </w:rPr>
  </w:style>
  <w:style w:type="paragraph" w:styleId="Paragraphedeliste">
    <w:name w:val="List Paragraph"/>
    <w:basedOn w:val="Normal"/>
    <w:uiPriority w:val="34"/>
    <w:qFormat/>
    <w:rsid w:val="007048A0"/>
    <w:pPr>
      <w:ind w:left="720"/>
      <w:contextualSpacing/>
    </w:pPr>
    <w:rPr>
      <w:rFonts w:ascii="Times New Roman" w:hAnsi="Times New Roman" w:cs="Times New Roman"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6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B2A661AE</Template>
  <TotalTime>0</TotalTime>
  <Pages>1</Pages>
  <Words>378</Words>
  <Characters>2083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 Général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Cervoni, Sabina</dc:creator>
  <cp:keywords/>
  <dc:description/>
  <cp:lastModifiedBy>Cervoni, Sabina</cp:lastModifiedBy>
  <cp:revision>2</cp:revision>
  <dcterms:created xsi:type="dcterms:W3CDTF">2022-07-04T05:06:00Z</dcterms:created>
  <dcterms:modified xsi:type="dcterms:W3CDTF">2022-07-04T05:06:00Z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650871308</vt:i4>
  </property>
  <property fmtid="{D5CDD505-2E9C-101B-9397-08002B2CF9AE}" pid="3" name="_NewReviewCycle">
    <vt:lpwstr/>
  </property>
  <property fmtid="{D5CDD505-2E9C-101B-9397-08002B2CF9AE}" pid="4" name="_EmailSubject">
    <vt:lpwstr>Divers  GT RTE</vt:lpwstr>
  </property>
  <property fmtid="{D5CDD505-2E9C-101B-9397-08002B2CF9AE}" pid="5" name="_AuthorEmail">
    <vt:lpwstr>Philippe.DeCastro@etat.ge.ch</vt:lpwstr>
  </property>
  <property fmtid="{D5CDD505-2E9C-101B-9397-08002B2CF9AE}" pid="6" name="_AuthorEmailDisplayName">
    <vt:lpwstr>De Castro Philippe (DEE)</vt:lpwstr>
  </property>
  <property fmtid="{D5CDD505-2E9C-101B-9397-08002B2CF9AE}" pid="7" name="_ReviewingToolsShownOnce">
    <vt:lpwstr/>
  </property>
</Properties>
</file>