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110DE" w14:textId="0980C219" w:rsidR="00F87DAD" w:rsidRPr="00A53EBF" w:rsidRDefault="004A55CF" w:rsidP="00961657">
      <w:pPr>
        <w:rPr>
          <w:b/>
          <w:color w:val="76923C" w:themeColor="accent3" w:themeShade="BF"/>
          <w:sz w:val="24"/>
          <w:szCs w:val="24"/>
        </w:rPr>
      </w:pPr>
      <w:r w:rsidRPr="00A53EBF">
        <w:rPr>
          <w:b/>
          <w:color w:val="76923C" w:themeColor="accent3" w:themeShade="BF"/>
          <w:sz w:val="24"/>
          <w:szCs w:val="24"/>
        </w:rPr>
        <w:t>Fiche synthèse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935"/>
      </w:tblGrid>
      <w:tr w:rsidR="00961657" w14:paraId="51D52A48" w14:textId="77777777" w:rsidTr="00F21F5C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5126" w14:textId="77777777" w:rsidR="00961657" w:rsidRPr="008E5D2F" w:rsidRDefault="0096165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color w:val="FFFFFF" w:themeColor="background1"/>
              </w:rPr>
              <w:t>Nom du document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F549" w14:textId="0DCF8672" w:rsidR="00961657" w:rsidRDefault="00371323" w:rsidP="008E5D2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Concept</w:t>
            </w:r>
            <w:r w:rsidR="00360E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cantonal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30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 promotion de la santé et prévention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PSP</w:t>
            </w:r>
            <w:r w:rsidR="001302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2030</w:t>
            </w:r>
            <w:r w:rsidR="00E429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6D65819A" w14:textId="224438DD" w:rsidR="00E42900" w:rsidRPr="00A53EBF" w:rsidRDefault="00E42900" w:rsidP="008E5D2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d’action PSP 2019 -2023</w:t>
            </w:r>
          </w:p>
          <w:p w14:paraId="3855E23E" w14:textId="46D3812A" w:rsidR="00F21F5C" w:rsidRPr="008E5D2F" w:rsidRDefault="00F21F5C" w:rsidP="008E5D2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5CF" w14:paraId="56D32526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8BA3" w14:textId="77777777" w:rsidR="004A55CF" w:rsidRPr="008E5D2F" w:rsidRDefault="00F21F5C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color w:val="FFFFFF" w:themeColor="background1"/>
              </w:rPr>
              <w:t>Date de publication</w:t>
            </w:r>
          </w:p>
          <w:p w14:paraId="79C3EA1D" w14:textId="6FAFF882" w:rsidR="00F21F5C" w:rsidRPr="008E5D2F" w:rsidRDefault="00F21F5C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D616" w14:textId="77777777" w:rsidR="004A55CF" w:rsidRDefault="00E42900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Concept </w:t>
            </w:r>
            <w:r w:rsidR="003B6471">
              <w:rPr>
                <w:rFonts w:asciiTheme="minorHAnsi" w:hAnsiTheme="minorHAnsi" w:cstheme="minorHAnsi"/>
              </w:rPr>
              <w:t>201</w:t>
            </w:r>
            <w:r w:rsidR="002875A2">
              <w:rPr>
                <w:rFonts w:asciiTheme="minorHAnsi" w:hAnsiTheme="minorHAnsi" w:cstheme="minorHAnsi"/>
              </w:rPr>
              <w:t>6</w:t>
            </w:r>
          </w:p>
          <w:p w14:paraId="6BF95231" w14:textId="3590E419" w:rsidR="00E42900" w:rsidRPr="008E5D2F" w:rsidRDefault="00E42900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cantonal PSP 2019</w:t>
            </w:r>
          </w:p>
        </w:tc>
      </w:tr>
      <w:tr w:rsidR="00961657" w14:paraId="067C4008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0CAD" w14:textId="56DF838E" w:rsidR="00961657" w:rsidRPr="008E5D2F" w:rsidRDefault="0096165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color w:val="FFFFFF" w:themeColor="background1"/>
              </w:rPr>
              <w:t>Auteur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A53C" w14:textId="161069A2" w:rsidR="00961657" w:rsidRPr="008E5D2F" w:rsidRDefault="003B6471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Comité de pilotage interdépartemental chargé de la révision de la politique cantonale de promotion </w:t>
            </w:r>
            <w:r w:rsidR="00323640">
              <w:rPr>
                <w:rFonts w:asciiTheme="minorHAnsi" w:hAnsiTheme="minorHAnsi" w:cstheme="minorHAnsi"/>
              </w:rPr>
              <w:t>de la</w:t>
            </w:r>
            <w:r>
              <w:rPr>
                <w:rFonts w:asciiTheme="minorHAnsi" w:hAnsiTheme="minorHAnsi" w:cstheme="minorHAnsi"/>
              </w:rPr>
              <w:t xml:space="preserve"> santé et de prévention et direction générale de la santé (DGS).</w:t>
            </w:r>
          </w:p>
          <w:p w14:paraId="5D043BF0" w14:textId="7E8DDBBC" w:rsidR="001D7AAB" w:rsidRPr="008E5D2F" w:rsidRDefault="001D7AAB" w:rsidP="008E5D2F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0300BD" w14:paraId="5B342BE0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2B26" w14:textId="5AA04EEA" w:rsidR="000300BD" w:rsidRPr="008E5D2F" w:rsidRDefault="000300B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color w:val="FFFFFF" w:themeColor="background1"/>
              </w:rPr>
              <w:t>A</w:t>
            </w:r>
            <w:r w:rsidR="00C019B0" w:rsidRPr="008E5D2F">
              <w:rPr>
                <w:rFonts w:asciiTheme="minorHAnsi" w:hAnsiTheme="minorHAnsi" w:cstheme="minorHAnsi"/>
                <w:color w:val="FFFFFF" w:themeColor="background1"/>
              </w:rPr>
              <w:t>utres a</w:t>
            </w:r>
            <w:r w:rsidRPr="008E5D2F">
              <w:rPr>
                <w:rFonts w:asciiTheme="minorHAnsi" w:hAnsiTheme="minorHAnsi" w:cstheme="minorHAnsi"/>
                <w:color w:val="FFFFFF" w:themeColor="background1"/>
              </w:rPr>
              <w:t>cteurs concernés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191D" w14:textId="2AC18D2C" w:rsidR="00C019B0" w:rsidRPr="008E5D2F" w:rsidRDefault="00371323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Instances cantonales, établissements publics autonomes, communes, secteur privé et l’ensemble de la société civile.</w:t>
            </w:r>
          </w:p>
        </w:tc>
      </w:tr>
      <w:tr w:rsidR="004A55CF" w14:paraId="2264F3BD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1E36" w14:textId="77777777" w:rsidR="004A55CF" w:rsidRPr="008E5D2F" w:rsidRDefault="004A55C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color w:val="FFFFFF" w:themeColor="background1"/>
              </w:rPr>
              <w:t>Contexte et enjeux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1F0F" w14:textId="537FFEB0" w:rsidR="002875A2" w:rsidRPr="002875A2" w:rsidRDefault="004116F5" w:rsidP="00287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875A2">
              <w:rPr>
                <w:rFonts w:asciiTheme="minorHAnsi" w:hAnsiTheme="minorHAnsi" w:cstheme="minorHAnsi"/>
              </w:rPr>
              <w:t>L</w:t>
            </w:r>
            <w:r w:rsidR="002875A2" w:rsidRPr="002875A2">
              <w:rPr>
                <w:rFonts w:asciiTheme="minorHAnsi" w:hAnsiTheme="minorHAnsi" w:cstheme="minorHAnsi"/>
              </w:rPr>
              <w:t>e Concept s'articule autour d'une vision,</w:t>
            </w:r>
            <w:r w:rsidR="002875A2">
              <w:rPr>
                <w:rFonts w:asciiTheme="minorHAnsi" w:hAnsiTheme="minorHAnsi" w:cstheme="minorHAnsi"/>
              </w:rPr>
              <w:t xml:space="preserve"> </w:t>
            </w:r>
            <w:r w:rsidR="002875A2" w:rsidRPr="002875A2">
              <w:rPr>
                <w:rFonts w:asciiTheme="minorHAnsi" w:hAnsiTheme="minorHAnsi" w:cstheme="minorHAnsi"/>
              </w:rPr>
              <w:t>d'une mission, de huit axes stratégiques et de</w:t>
            </w:r>
            <w:r w:rsidR="002875A2">
              <w:rPr>
                <w:rFonts w:asciiTheme="minorHAnsi" w:hAnsiTheme="minorHAnsi" w:cstheme="minorHAnsi"/>
              </w:rPr>
              <w:t xml:space="preserve"> </w:t>
            </w:r>
            <w:r w:rsidR="002875A2" w:rsidRPr="002875A2">
              <w:rPr>
                <w:rFonts w:asciiTheme="minorHAnsi" w:hAnsiTheme="minorHAnsi" w:cstheme="minorHAnsi"/>
              </w:rPr>
              <w:t>sept principes directeurs, permettant d'agir de</w:t>
            </w:r>
            <w:r w:rsidR="002875A2">
              <w:rPr>
                <w:rFonts w:asciiTheme="minorHAnsi" w:hAnsiTheme="minorHAnsi" w:cstheme="minorHAnsi"/>
              </w:rPr>
              <w:t xml:space="preserve"> </w:t>
            </w:r>
            <w:r w:rsidR="002875A2" w:rsidRPr="002875A2">
              <w:rPr>
                <w:rFonts w:asciiTheme="minorHAnsi" w:hAnsiTheme="minorHAnsi" w:cstheme="minorHAnsi"/>
              </w:rPr>
              <w:t>manière durable sur les facteurs environnementaux,</w:t>
            </w:r>
            <w:r w:rsidR="002875A2">
              <w:rPr>
                <w:rFonts w:asciiTheme="minorHAnsi" w:hAnsiTheme="minorHAnsi" w:cstheme="minorHAnsi"/>
              </w:rPr>
              <w:t xml:space="preserve"> </w:t>
            </w:r>
            <w:r w:rsidR="002875A2" w:rsidRPr="002875A2">
              <w:rPr>
                <w:rFonts w:asciiTheme="minorHAnsi" w:hAnsiTheme="minorHAnsi" w:cstheme="minorHAnsi"/>
              </w:rPr>
              <w:t>socio-économiques et comportementaux</w:t>
            </w:r>
            <w:r w:rsidR="002875A2">
              <w:rPr>
                <w:rFonts w:asciiTheme="minorHAnsi" w:hAnsiTheme="minorHAnsi" w:cstheme="minorHAnsi"/>
              </w:rPr>
              <w:t xml:space="preserve"> </w:t>
            </w:r>
            <w:r w:rsidR="002875A2" w:rsidRPr="002875A2">
              <w:rPr>
                <w:rFonts w:asciiTheme="minorHAnsi" w:hAnsiTheme="minorHAnsi" w:cstheme="minorHAnsi"/>
              </w:rPr>
              <w:t>qui influencent la santé. Centré sur</w:t>
            </w:r>
            <w:r w:rsidR="002875A2">
              <w:rPr>
                <w:rFonts w:asciiTheme="minorHAnsi" w:hAnsiTheme="minorHAnsi" w:cstheme="minorHAnsi"/>
              </w:rPr>
              <w:t xml:space="preserve"> </w:t>
            </w:r>
            <w:r w:rsidR="002875A2" w:rsidRPr="002875A2">
              <w:rPr>
                <w:rFonts w:asciiTheme="minorHAnsi" w:hAnsiTheme="minorHAnsi" w:cstheme="minorHAnsi"/>
              </w:rPr>
              <w:t>l'humain, il privilégie une approche positive de</w:t>
            </w:r>
            <w:r w:rsidR="002875A2">
              <w:rPr>
                <w:rFonts w:asciiTheme="minorHAnsi" w:hAnsiTheme="minorHAnsi" w:cstheme="minorHAnsi"/>
              </w:rPr>
              <w:t xml:space="preserve"> </w:t>
            </w:r>
            <w:r w:rsidR="002875A2" w:rsidRPr="002875A2">
              <w:rPr>
                <w:rFonts w:asciiTheme="minorHAnsi" w:hAnsiTheme="minorHAnsi" w:cstheme="minorHAnsi"/>
              </w:rPr>
              <w:t>la santé, prenant en compte autant les risques</w:t>
            </w:r>
          </w:p>
          <w:p w14:paraId="4F6F5182" w14:textId="00846AC3" w:rsidR="002875A2" w:rsidRPr="002875A2" w:rsidRDefault="002875A2" w:rsidP="00287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875A2">
              <w:rPr>
                <w:rFonts w:asciiTheme="minorHAnsi" w:hAnsiTheme="minorHAnsi" w:cstheme="minorHAnsi"/>
              </w:rPr>
              <w:t>que les opportunités de santé durant toutes les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75A2">
              <w:rPr>
                <w:rFonts w:asciiTheme="minorHAnsi" w:hAnsiTheme="minorHAnsi" w:cstheme="minorHAnsi"/>
              </w:rPr>
              <w:t>étapes de la vie.</w:t>
            </w:r>
          </w:p>
          <w:p w14:paraId="4DB8935B" w14:textId="400D1EC0" w:rsidR="004D6022" w:rsidRDefault="002875A2" w:rsidP="00287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875A2">
              <w:rPr>
                <w:rFonts w:asciiTheme="minorHAnsi" w:hAnsiTheme="minorHAnsi" w:cstheme="minorHAnsi"/>
              </w:rPr>
              <w:t>Les priorités stratégiques seront traduites 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75A2">
              <w:rPr>
                <w:rFonts w:asciiTheme="minorHAnsi" w:hAnsiTheme="minorHAnsi" w:cstheme="minorHAnsi"/>
              </w:rPr>
              <w:t>actions concrètes dans les prochains plans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75A2">
              <w:rPr>
                <w:rFonts w:asciiTheme="minorHAnsi" w:hAnsiTheme="minorHAnsi" w:cstheme="minorHAnsi"/>
              </w:rPr>
              <w:t>d'action cantonaux de promotion de la santé et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75A2">
              <w:rPr>
                <w:rFonts w:asciiTheme="minorHAnsi" w:hAnsiTheme="minorHAnsi" w:cstheme="minorHAnsi"/>
              </w:rPr>
              <w:t>de prévention, mis en œuvre en coordination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75A2">
              <w:rPr>
                <w:rFonts w:asciiTheme="minorHAnsi" w:hAnsiTheme="minorHAnsi" w:cstheme="minorHAnsi"/>
              </w:rPr>
              <w:t>avec l'ensemble des partenaires publics, associatifs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75A2">
              <w:rPr>
                <w:rFonts w:asciiTheme="minorHAnsi" w:hAnsiTheme="minorHAnsi" w:cstheme="minorHAnsi"/>
              </w:rPr>
              <w:t>et privés concernés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4116F5" w:rsidRPr="002875A2">
              <w:rPr>
                <w:rFonts w:asciiTheme="minorHAnsi" w:hAnsiTheme="minorHAnsi" w:cstheme="minorHAnsi"/>
              </w:rPr>
              <w:t xml:space="preserve"> </w:t>
            </w:r>
            <w:r w:rsidRPr="002875A2">
              <w:rPr>
                <w:rFonts w:asciiTheme="minorHAnsi" w:hAnsiTheme="minorHAnsi" w:cstheme="minorHAnsi"/>
              </w:rPr>
              <w:t>Le Concept</w:t>
            </w:r>
            <w:r w:rsidR="00E42900">
              <w:rPr>
                <w:rFonts w:asciiTheme="minorHAnsi" w:hAnsiTheme="minorHAnsi" w:cstheme="minorHAnsi"/>
              </w:rPr>
              <w:t xml:space="preserve"> traite la promotion de la santé et la prévention. Pour compétence, il ne traite pas des soins curatifs et palliatifs </w:t>
            </w:r>
            <w:r w:rsidR="008E1FAC">
              <w:rPr>
                <w:rFonts w:asciiTheme="minorHAnsi" w:hAnsiTheme="minorHAnsi" w:cstheme="minorHAnsi"/>
              </w:rPr>
              <w:t>dévolus</w:t>
            </w:r>
            <w:r w:rsidR="00E42900">
              <w:rPr>
                <w:rFonts w:asciiTheme="minorHAnsi" w:hAnsiTheme="minorHAnsi" w:cstheme="minorHAnsi"/>
              </w:rPr>
              <w:t xml:space="preserve"> à d’autres instances</w:t>
            </w:r>
            <w:r w:rsidR="007579DB">
              <w:rPr>
                <w:rFonts w:asciiTheme="minorHAnsi" w:hAnsiTheme="minorHAnsi" w:cstheme="minorHAnsi"/>
              </w:rPr>
              <w:t xml:space="preserve"> (</w:t>
            </w:r>
            <w:r w:rsidR="0052183F" w:rsidRPr="0052183F">
              <w:rPr>
                <w:rFonts w:asciiTheme="minorHAnsi" w:hAnsiTheme="minorHAnsi" w:cstheme="minorHAnsi"/>
                <w:i/>
              </w:rPr>
              <w:t xml:space="preserve">cfr. </w:t>
            </w:r>
            <w:r w:rsidR="007579DB" w:rsidRPr="0052183F">
              <w:rPr>
                <w:rFonts w:asciiTheme="minorHAnsi" w:hAnsiTheme="minorHAnsi" w:cstheme="minorHAnsi"/>
                <w:i/>
              </w:rPr>
              <w:t>annexe 1</w:t>
            </w:r>
            <w:r w:rsidR="007579DB">
              <w:rPr>
                <w:rFonts w:asciiTheme="minorHAnsi" w:hAnsiTheme="minorHAnsi" w:cstheme="minorHAnsi"/>
              </w:rPr>
              <w:t>)</w:t>
            </w:r>
          </w:p>
          <w:p w14:paraId="589D6C41" w14:textId="5EE3A05E" w:rsidR="004D6022" w:rsidRDefault="004D6022" w:rsidP="00287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2CF33C3D" w14:textId="39D91352" w:rsidR="004D6022" w:rsidRDefault="004D6022" w:rsidP="00287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533E8AA2" w14:textId="40CD532F" w:rsidR="004D6022" w:rsidRDefault="008E1FAC" w:rsidP="00287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Plan cantonal 2019-2023 veut améliorer la surveillance, connaissance et interventions sur les maladies non transmissibles devenues un enjeu majeur de santé publique, on estime leur impact sur l’état de santé des populations à 60%.</w:t>
            </w:r>
          </w:p>
          <w:p w14:paraId="6CD7AD3E" w14:textId="77777777" w:rsidR="004D6022" w:rsidRPr="002875A2" w:rsidRDefault="004D6022" w:rsidP="002875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10E0FD60" w14:textId="10DB2F2E" w:rsidR="00887CB6" w:rsidRPr="008E5D2F" w:rsidRDefault="00887CB6" w:rsidP="003713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55CF" w14:paraId="735AC017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96FB" w14:textId="21A3E0A7" w:rsidR="004A55CF" w:rsidRPr="008E5D2F" w:rsidRDefault="004A55C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color w:val="FFFFFF" w:themeColor="background1"/>
              </w:rPr>
              <w:t>Principaux objectifs visés</w:t>
            </w:r>
            <w:r w:rsidR="00547E7C" w:rsidRPr="008E5D2F">
              <w:rPr>
                <w:rFonts w:asciiTheme="minorHAnsi" w:hAnsiTheme="minorHAnsi" w:cstheme="minorHAnsi"/>
                <w:color w:val="FFFFFF" w:themeColor="background1"/>
              </w:rPr>
              <w:t xml:space="preserve"> / actions envisagées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4713" w14:textId="06B90633" w:rsidR="005C6EA4" w:rsidRDefault="00371323" w:rsidP="00371323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Améliorer la perception des individus par rapport à leur propre santé est une approche innovatrice pour Genève</w:t>
            </w:r>
            <w:r w:rsidR="004116F5">
              <w:rPr>
                <w:rFonts w:asciiTheme="minorHAnsi" w:hAnsiTheme="minorHAnsi" w:cstheme="minorHAnsi"/>
              </w:rPr>
              <w:t> ;</w:t>
            </w:r>
          </w:p>
          <w:p w14:paraId="58AFED12" w14:textId="02EBC207" w:rsidR="004116F5" w:rsidRDefault="004116F5" w:rsidP="00371323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Induire un changement significatif de l’état de santé de la population ;</w:t>
            </w:r>
          </w:p>
          <w:p w14:paraId="042908B1" w14:textId="35EAFC2E" w:rsidR="00371323" w:rsidRDefault="00371323" w:rsidP="00371323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Offrir une vue d’ensemble des actions à être menée</w:t>
            </w:r>
            <w:r w:rsidR="000D4AB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au travers du Plan cantonal PSP</w:t>
            </w:r>
            <w:r w:rsidR="004116F5">
              <w:rPr>
                <w:rFonts w:asciiTheme="minorHAnsi" w:hAnsiTheme="minorHAnsi" w:cstheme="minorHAnsi"/>
              </w:rPr>
              <w:t>.</w:t>
            </w:r>
          </w:p>
          <w:p w14:paraId="12D95199" w14:textId="77777777" w:rsidR="008E1FAC" w:rsidRDefault="008E1FAC" w:rsidP="00371323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</w:p>
          <w:p w14:paraId="3B48D1F5" w14:textId="7A6A29E8" w:rsidR="004116F5" w:rsidRDefault="008E1FAC" w:rsidP="004116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annexe les 8 axes d’intervention</w:t>
            </w:r>
            <w:r w:rsidR="00555C80">
              <w:rPr>
                <w:rFonts w:asciiTheme="minorHAnsi" w:hAnsiTheme="minorHAnsi" w:cstheme="minorHAnsi"/>
              </w:rPr>
              <w:t>.</w:t>
            </w:r>
          </w:p>
          <w:p w14:paraId="73A3F0D3" w14:textId="2575C543" w:rsidR="001D7AAB" w:rsidRPr="008E5D2F" w:rsidRDefault="001D7AAB" w:rsidP="004116F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61657" w14:paraId="174BFA98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7AF8" w14:textId="7C3C325F" w:rsidR="00961657" w:rsidRPr="008E5D2F" w:rsidRDefault="00A871EB" w:rsidP="008E5D2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b/>
                <w:color w:val="FFFFFF" w:themeColor="background1"/>
              </w:rPr>
              <w:t>Actions en l</w:t>
            </w:r>
            <w:r w:rsidR="004A55CF" w:rsidRPr="008E5D2F">
              <w:rPr>
                <w:rFonts w:asciiTheme="minorHAnsi" w:hAnsiTheme="minorHAnsi" w:cstheme="minorHAnsi"/>
                <w:b/>
                <w:color w:val="FFFFFF" w:themeColor="background1"/>
              </w:rPr>
              <w:t>ien avec le RTE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E93C" w14:textId="05C1F456" w:rsidR="008E1FAC" w:rsidRPr="008E1FAC" w:rsidRDefault="005A6D74" w:rsidP="008E5D2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1FAC">
              <w:rPr>
                <w:rFonts w:asciiTheme="minorHAnsi" w:hAnsiTheme="minorHAnsi" w:cstheme="minorHAnsi"/>
                <w:b/>
              </w:rPr>
              <w:t>Axe 1 :</w:t>
            </w:r>
            <w:r w:rsidR="00555C80">
              <w:rPr>
                <w:rFonts w:asciiTheme="minorHAnsi" w:hAnsiTheme="minorHAnsi" w:cstheme="minorHAnsi"/>
                <w:b/>
              </w:rPr>
              <w:t xml:space="preserve"> un environnement physique propice à un mode de vie sain</w:t>
            </w:r>
          </w:p>
          <w:p w14:paraId="491EC3F7" w14:textId="0AE42BA0" w:rsidR="00961657" w:rsidRDefault="008E1FAC" w:rsidP="008E5D2F">
            <w:pPr>
              <w:jc w:val="both"/>
              <w:rPr>
                <w:rFonts w:asciiTheme="minorHAnsi" w:hAnsiTheme="minorHAnsi" w:cstheme="minorHAnsi"/>
              </w:rPr>
            </w:pPr>
            <w:r w:rsidRPr="008E1FAC">
              <w:rPr>
                <w:rFonts w:asciiTheme="minorHAnsi" w:hAnsiTheme="minorHAnsi" w:cstheme="minorHAnsi"/>
                <w:u w:val="single"/>
              </w:rPr>
              <w:t>Action 1.3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5A6D74">
              <w:rPr>
                <w:rFonts w:asciiTheme="minorHAnsi" w:hAnsiTheme="minorHAnsi" w:cstheme="minorHAnsi"/>
              </w:rPr>
              <w:t xml:space="preserve"> créer la maison d</w:t>
            </w:r>
            <w:r>
              <w:rPr>
                <w:rFonts w:asciiTheme="minorHAnsi" w:hAnsiTheme="minorHAnsi" w:cstheme="minorHAnsi"/>
              </w:rPr>
              <w:t>e l’alimentation du territoire (Ma-</w:t>
            </w:r>
            <w:proofErr w:type="spellStart"/>
            <w:r>
              <w:rPr>
                <w:rFonts w:asciiTheme="minorHAnsi" w:hAnsiTheme="minorHAnsi" w:cstheme="minorHAnsi"/>
              </w:rPr>
              <w:t>terre_GE</w:t>
            </w:r>
            <w:proofErr w:type="spellEnd"/>
            <w:r>
              <w:rPr>
                <w:rFonts w:asciiTheme="minorHAnsi" w:hAnsiTheme="minorHAnsi" w:cstheme="minorHAnsi"/>
              </w:rPr>
              <w:t xml:space="preserve">). </w:t>
            </w:r>
          </w:p>
          <w:p w14:paraId="6E6A4A93" w14:textId="1DAFDDA7" w:rsidR="008E1FAC" w:rsidRDefault="008E1FAC" w:rsidP="008E5D2F">
            <w:pPr>
              <w:jc w:val="both"/>
              <w:rPr>
                <w:rFonts w:asciiTheme="minorHAnsi" w:hAnsiTheme="minorHAnsi" w:cstheme="minorHAnsi"/>
              </w:rPr>
            </w:pPr>
            <w:r w:rsidRPr="008E1FAC">
              <w:rPr>
                <w:rFonts w:asciiTheme="minorHAnsi" w:hAnsiTheme="minorHAnsi" w:cstheme="minorHAnsi"/>
                <w:u w:val="single"/>
              </w:rPr>
              <w:t>Action 1.8.</w:t>
            </w:r>
            <w:r>
              <w:rPr>
                <w:rFonts w:asciiTheme="minorHAnsi" w:hAnsiTheme="minorHAnsi" w:cstheme="minorHAnsi"/>
              </w:rPr>
              <w:t xml:space="preserve"> promouvoir une alimentation saine, locale et de saison auprès des enfants.</w:t>
            </w:r>
          </w:p>
          <w:p w14:paraId="28C6197C" w14:textId="77777777" w:rsidR="008E1FAC" w:rsidRDefault="008E1FAC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Porteur : office cantonal de l’agriculture et nature</w:t>
            </w:r>
          </w:p>
          <w:p w14:paraId="0A03979E" w14:textId="77777777" w:rsidR="00555C80" w:rsidRDefault="00555C80" w:rsidP="008E5D2F">
            <w:pPr>
              <w:jc w:val="both"/>
              <w:rPr>
                <w:rFonts w:asciiTheme="minorHAnsi" w:hAnsiTheme="minorHAnsi" w:cstheme="minorHAnsi"/>
              </w:rPr>
            </w:pPr>
          </w:p>
          <w:p w14:paraId="30F9355A" w14:textId="77777777" w:rsidR="00555C80" w:rsidRDefault="00555C80" w:rsidP="008E5D2F">
            <w:pPr>
              <w:jc w:val="both"/>
              <w:rPr>
                <w:rFonts w:asciiTheme="minorHAnsi" w:hAnsiTheme="minorHAnsi" w:cstheme="minorHAnsi"/>
              </w:rPr>
            </w:pPr>
            <w:r w:rsidRPr="00555C80">
              <w:rPr>
                <w:rFonts w:asciiTheme="minorHAnsi" w:hAnsiTheme="minorHAnsi" w:cstheme="minorHAnsi"/>
                <w:b/>
              </w:rPr>
              <w:t>Axe 2 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208E1">
              <w:rPr>
                <w:rFonts w:asciiTheme="minorHAnsi" w:hAnsiTheme="minorHAnsi" w:cstheme="minorHAnsi"/>
                <w:b/>
              </w:rPr>
              <w:t>Mesures de prévention affectant les personnes actives dans les secteurs professionnels et/ou faible niveau de qualification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C250EC4" w14:textId="77777777" w:rsidR="00555C80" w:rsidRDefault="00555C80" w:rsidP="008E5D2F">
            <w:pPr>
              <w:jc w:val="both"/>
              <w:rPr>
                <w:rFonts w:asciiTheme="minorHAnsi" w:hAnsiTheme="minorHAnsi" w:cstheme="minorHAnsi"/>
              </w:rPr>
            </w:pPr>
            <w:r w:rsidRPr="00555C80">
              <w:rPr>
                <w:rFonts w:asciiTheme="minorHAnsi" w:hAnsiTheme="minorHAnsi" w:cstheme="minorHAnsi"/>
                <w:u w:val="single"/>
              </w:rPr>
              <w:lastRenderedPageBreak/>
              <w:t>Action 2.3.</w:t>
            </w:r>
            <w:r>
              <w:rPr>
                <w:rFonts w:asciiTheme="minorHAnsi" w:hAnsiTheme="minorHAnsi" w:cstheme="minorHAnsi"/>
              </w:rPr>
              <w:t xml:space="preserve"> lutter contre le sous-emploi et la précarisation des travailleurs &gt;50 ans.</w:t>
            </w:r>
          </w:p>
          <w:p w14:paraId="4338C62D" w14:textId="77777777" w:rsidR="0051485C" w:rsidRDefault="0051485C" w:rsidP="008E5D2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27B6959" w14:textId="4139031A" w:rsidR="00850957" w:rsidRDefault="00850957" w:rsidP="008E5D2F">
            <w:pPr>
              <w:jc w:val="both"/>
              <w:rPr>
                <w:rFonts w:asciiTheme="minorHAnsi" w:hAnsiTheme="minorHAnsi" w:cstheme="minorHAnsi"/>
              </w:rPr>
            </w:pPr>
            <w:r w:rsidRPr="00850957">
              <w:rPr>
                <w:rFonts w:asciiTheme="minorHAnsi" w:hAnsiTheme="minorHAnsi" w:cstheme="minorHAnsi"/>
                <w:b/>
              </w:rPr>
              <w:t>Axe 3 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208E1">
              <w:rPr>
                <w:rFonts w:asciiTheme="minorHAnsi" w:hAnsiTheme="minorHAnsi" w:cstheme="minorHAnsi"/>
                <w:b/>
              </w:rPr>
              <w:t>une population informée et capable d’agir en faveur de santé.</w:t>
            </w:r>
          </w:p>
          <w:p w14:paraId="1B964F0E" w14:textId="090B60C7" w:rsidR="00850957" w:rsidRDefault="00850957" w:rsidP="008E5D2F">
            <w:pPr>
              <w:jc w:val="both"/>
              <w:rPr>
                <w:rFonts w:asciiTheme="minorHAnsi" w:hAnsiTheme="minorHAnsi" w:cstheme="minorHAnsi"/>
              </w:rPr>
            </w:pPr>
            <w:r w:rsidRPr="00850957">
              <w:rPr>
                <w:rFonts w:asciiTheme="minorHAnsi" w:hAnsiTheme="minorHAnsi" w:cstheme="minorHAnsi"/>
                <w:u w:val="single"/>
              </w:rPr>
              <w:t>Action 3.1.</w:t>
            </w:r>
            <w:r w:rsidR="00D1779D">
              <w:rPr>
                <w:rFonts w:asciiTheme="minorHAnsi" w:hAnsiTheme="minorHAnsi" w:cstheme="minorHAnsi"/>
                <w:u w:val="single"/>
              </w:rPr>
              <w:t> :</w:t>
            </w:r>
            <w:r>
              <w:rPr>
                <w:rFonts w:asciiTheme="minorHAnsi" w:hAnsiTheme="minorHAnsi" w:cstheme="minorHAnsi"/>
              </w:rPr>
              <w:t xml:space="preserve"> renforcer les compétences e santé des groupes cibles, par le biais de la médiation communautaire.</w:t>
            </w:r>
          </w:p>
          <w:p w14:paraId="5CAD7E8C" w14:textId="4910E1EA" w:rsidR="00850957" w:rsidRDefault="00850957" w:rsidP="00850957">
            <w:pPr>
              <w:jc w:val="both"/>
              <w:rPr>
                <w:rFonts w:asciiTheme="minorHAnsi" w:hAnsiTheme="minorHAnsi" w:cstheme="minorHAnsi"/>
              </w:rPr>
            </w:pPr>
            <w:r w:rsidRPr="00850957">
              <w:rPr>
                <w:rFonts w:asciiTheme="minorHAnsi" w:hAnsiTheme="minorHAnsi" w:cstheme="minorHAnsi"/>
                <w:u w:val="single"/>
              </w:rPr>
              <w:t>Action 3.2</w:t>
            </w:r>
            <w:r>
              <w:rPr>
                <w:rFonts w:asciiTheme="minorHAnsi" w:hAnsiTheme="minorHAnsi" w:cstheme="minorHAnsi"/>
              </w:rPr>
              <w:t>.</w:t>
            </w:r>
            <w:r w:rsidR="00D1779D">
              <w:rPr>
                <w:rFonts w:asciiTheme="minorHAnsi" w:hAnsiTheme="minorHAnsi" w:cstheme="minorHAnsi"/>
              </w:rPr>
              <w:t xml:space="preserve"> : </w:t>
            </w:r>
            <w:r>
              <w:rPr>
                <w:rFonts w:asciiTheme="minorHAnsi" w:hAnsiTheme="minorHAnsi" w:cstheme="minorHAnsi"/>
              </w:rPr>
              <w:t xml:space="preserve"> information de qualité. Site « planète santé ».</w:t>
            </w:r>
          </w:p>
          <w:p w14:paraId="06DC9D06" w14:textId="0BC0C836" w:rsidR="00850957" w:rsidRDefault="00850957" w:rsidP="00850957">
            <w:pPr>
              <w:jc w:val="both"/>
              <w:rPr>
                <w:rFonts w:asciiTheme="minorHAnsi" w:hAnsiTheme="minorHAnsi" w:cstheme="minorHAnsi"/>
              </w:rPr>
            </w:pPr>
            <w:r w:rsidRPr="00850957">
              <w:rPr>
                <w:rFonts w:asciiTheme="minorHAnsi" w:hAnsiTheme="minorHAnsi" w:cstheme="minorHAnsi"/>
                <w:u w:val="single"/>
              </w:rPr>
              <w:t>Action 3.3</w:t>
            </w:r>
            <w:r>
              <w:rPr>
                <w:rFonts w:asciiTheme="minorHAnsi" w:hAnsiTheme="minorHAnsi" w:cstheme="minorHAnsi"/>
              </w:rPr>
              <w:t>. : comportements sains « changeons peu vivons mieux »</w:t>
            </w:r>
          </w:p>
          <w:p w14:paraId="7DCD65E7" w14:textId="1AEDC489" w:rsidR="00D1779D" w:rsidRDefault="00D1779D" w:rsidP="0085095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Action 3.5. : Living </w:t>
            </w:r>
            <w:proofErr w:type="spellStart"/>
            <w:r>
              <w:rPr>
                <w:rFonts w:asciiTheme="minorHAnsi" w:hAnsiTheme="minorHAnsi" w:cstheme="minorHAnsi"/>
              </w:rPr>
              <w:t>labs</w:t>
            </w:r>
            <w:proofErr w:type="spellEnd"/>
            <w:r>
              <w:rPr>
                <w:rFonts w:asciiTheme="minorHAnsi" w:hAnsiTheme="minorHAnsi" w:cstheme="minorHAnsi"/>
              </w:rPr>
              <w:t xml:space="preserve"> (structures citoyennes de participation etc.)</w:t>
            </w:r>
          </w:p>
          <w:p w14:paraId="2E996F06" w14:textId="69076956" w:rsidR="00D1779D" w:rsidRDefault="00D1779D" w:rsidP="0085095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 3.8. : Programme soutien « proche aidant »</w:t>
            </w:r>
          </w:p>
          <w:p w14:paraId="3DE02CC0" w14:textId="77777777" w:rsidR="00850957" w:rsidRDefault="00850957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Porteur : DGS</w:t>
            </w:r>
          </w:p>
          <w:p w14:paraId="5C53FD07" w14:textId="768B24C6" w:rsidR="00850957" w:rsidRDefault="00850957" w:rsidP="008E5D2F">
            <w:pPr>
              <w:jc w:val="both"/>
              <w:rPr>
                <w:rFonts w:asciiTheme="minorHAnsi" w:hAnsiTheme="minorHAnsi" w:cstheme="minorHAnsi"/>
              </w:rPr>
            </w:pPr>
            <w:r w:rsidRPr="0030383C">
              <w:rPr>
                <w:rFonts w:asciiTheme="minorHAnsi" w:hAnsiTheme="minorHAnsi" w:cstheme="minorHAnsi"/>
                <w:u w:val="single"/>
              </w:rPr>
              <w:t>Action 3.4</w:t>
            </w:r>
            <w:r>
              <w:rPr>
                <w:rFonts w:asciiTheme="minorHAnsi" w:hAnsiTheme="minorHAnsi" w:cstheme="minorHAnsi"/>
              </w:rPr>
              <w:t>.</w:t>
            </w:r>
            <w:r w:rsidR="00B124EA">
              <w:rPr>
                <w:rFonts w:asciiTheme="minorHAnsi" w:hAnsiTheme="minorHAnsi" w:cstheme="minorHAnsi"/>
              </w:rPr>
              <w:t> : promouvoir activement la consommation d’</w:t>
            </w:r>
            <w:r>
              <w:rPr>
                <w:rFonts w:asciiTheme="minorHAnsi" w:hAnsiTheme="minorHAnsi" w:cstheme="minorHAnsi"/>
              </w:rPr>
              <w:t xml:space="preserve">eau </w:t>
            </w:r>
            <w:r w:rsidR="00B124EA">
              <w:rPr>
                <w:rFonts w:asciiTheme="minorHAnsi" w:hAnsiTheme="minorHAnsi" w:cstheme="minorHAnsi"/>
              </w:rPr>
              <w:t xml:space="preserve">du </w:t>
            </w:r>
            <w:r>
              <w:rPr>
                <w:rFonts w:asciiTheme="minorHAnsi" w:hAnsiTheme="minorHAnsi" w:cstheme="minorHAnsi"/>
              </w:rPr>
              <w:t>robinet</w:t>
            </w:r>
            <w:r w:rsidR="00B124EA">
              <w:rPr>
                <w:rFonts w:asciiTheme="minorHAnsi" w:hAnsiTheme="minorHAnsi" w:cstheme="minorHAnsi"/>
              </w:rPr>
              <w:t>.</w:t>
            </w:r>
          </w:p>
          <w:p w14:paraId="260ED2CC" w14:textId="77777777" w:rsidR="00850957" w:rsidRDefault="00850957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Porteur : SIG</w:t>
            </w:r>
          </w:p>
          <w:p w14:paraId="1567912C" w14:textId="77777777" w:rsidR="0051485C" w:rsidRDefault="0051485C" w:rsidP="008E5D2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9E60DA9" w14:textId="400831B4" w:rsidR="0051485C" w:rsidRPr="00D208E1" w:rsidRDefault="0051485C" w:rsidP="008E5D2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1485C">
              <w:rPr>
                <w:rFonts w:asciiTheme="minorHAnsi" w:hAnsiTheme="minorHAnsi" w:cstheme="minorHAnsi"/>
                <w:b/>
              </w:rPr>
              <w:t>Axe 6</w:t>
            </w:r>
            <w:r>
              <w:rPr>
                <w:rFonts w:asciiTheme="minorHAnsi" w:hAnsiTheme="minorHAnsi" w:cstheme="minorHAnsi"/>
              </w:rPr>
              <w:t xml:space="preserve"> : </w:t>
            </w:r>
            <w:r w:rsidRPr="00D208E1">
              <w:rPr>
                <w:rFonts w:asciiTheme="minorHAnsi" w:hAnsiTheme="minorHAnsi" w:cstheme="minorHAnsi"/>
                <w:b/>
              </w:rPr>
              <w:t>bien-être et qualité de vie dans le vieillissement</w:t>
            </w:r>
          </w:p>
          <w:p w14:paraId="7ED5355E" w14:textId="502B1826" w:rsidR="0051485C" w:rsidRDefault="0051485C" w:rsidP="008E5D2F">
            <w:pPr>
              <w:jc w:val="both"/>
              <w:rPr>
                <w:rFonts w:asciiTheme="minorHAnsi" w:hAnsiTheme="minorHAnsi" w:cstheme="minorHAnsi"/>
              </w:rPr>
            </w:pPr>
            <w:r w:rsidRPr="0051485C">
              <w:rPr>
                <w:rFonts w:asciiTheme="minorHAnsi" w:hAnsiTheme="minorHAnsi" w:cstheme="minorHAnsi"/>
                <w:u w:val="single"/>
              </w:rPr>
              <w:t>Action 6.1.</w:t>
            </w:r>
            <w:r>
              <w:rPr>
                <w:rFonts w:asciiTheme="minorHAnsi" w:hAnsiTheme="minorHAnsi" w:cstheme="minorHAnsi"/>
              </w:rPr>
              <w:t> : initiatives intergénérationnelles</w:t>
            </w:r>
          </w:p>
          <w:p w14:paraId="1C8F49A0" w14:textId="1ABFA79E" w:rsidR="0051485C" w:rsidRDefault="0051485C" w:rsidP="008E5D2F">
            <w:pPr>
              <w:jc w:val="both"/>
              <w:rPr>
                <w:rFonts w:asciiTheme="minorHAnsi" w:hAnsiTheme="minorHAnsi" w:cstheme="minorHAnsi"/>
              </w:rPr>
            </w:pPr>
            <w:r w:rsidRPr="0051485C">
              <w:rPr>
                <w:rFonts w:asciiTheme="minorHAnsi" w:hAnsiTheme="minorHAnsi" w:cstheme="minorHAnsi"/>
                <w:u w:val="single"/>
              </w:rPr>
              <w:t>Action 6.2</w:t>
            </w:r>
            <w:r>
              <w:rPr>
                <w:rFonts w:asciiTheme="minorHAnsi" w:hAnsiTheme="minorHAnsi" w:cstheme="minorHAnsi"/>
              </w:rPr>
              <w:t>. : prévention et détection de la fragilité des personnes âgées</w:t>
            </w:r>
          </w:p>
          <w:p w14:paraId="458E146A" w14:textId="1ACDFBC9" w:rsidR="0051485C" w:rsidRDefault="0051485C" w:rsidP="008E5D2F">
            <w:pPr>
              <w:jc w:val="both"/>
              <w:rPr>
                <w:rFonts w:asciiTheme="minorHAnsi" w:hAnsiTheme="minorHAnsi" w:cstheme="minorHAnsi"/>
              </w:rPr>
            </w:pPr>
            <w:r w:rsidRPr="0051485C">
              <w:rPr>
                <w:rFonts w:asciiTheme="minorHAnsi" w:hAnsiTheme="minorHAnsi" w:cstheme="minorHAnsi"/>
                <w:u w:val="single"/>
              </w:rPr>
              <w:t>Action 6.3.</w:t>
            </w:r>
            <w:r>
              <w:rPr>
                <w:rFonts w:asciiTheme="minorHAnsi" w:hAnsiTheme="minorHAnsi" w:cstheme="minorHAnsi"/>
              </w:rPr>
              <w:t> : alimentation saine</w:t>
            </w:r>
          </w:p>
          <w:p w14:paraId="2F5AB914" w14:textId="467B0EEE" w:rsidR="0051485C" w:rsidRDefault="0051485C" w:rsidP="008E5D2F">
            <w:pPr>
              <w:jc w:val="both"/>
              <w:rPr>
                <w:rFonts w:asciiTheme="minorHAnsi" w:hAnsiTheme="minorHAnsi" w:cstheme="minorHAnsi"/>
              </w:rPr>
            </w:pPr>
            <w:r w:rsidRPr="0051485C">
              <w:rPr>
                <w:rFonts w:asciiTheme="minorHAnsi" w:hAnsiTheme="minorHAnsi" w:cstheme="minorHAnsi"/>
                <w:u w:val="single"/>
              </w:rPr>
              <w:t>Action 6.4.</w:t>
            </w:r>
            <w:r>
              <w:rPr>
                <w:rFonts w:asciiTheme="minorHAnsi" w:hAnsiTheme="minorHAnsi" w:cstheme="minorHAnsi"/>
              </w:rPr>
              <w:t> : consommation d ‘alcool</w:t>
            </w:r>
          </w:p>
          <w:p w14:paraId="74177BFE" w14:textId="79F8920E" w:rsidR="0051485C" w:rsidRDefault="0051485C" w:rsidP="005148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Porteur : DGS, IMAD</w:t>
            </w:r>
          </w:p>
          <w:p w14:paraId="50081BDF" w14:textId="62220C5B" w:rsidR="0051485C" w:rsidRDefault="0051485C" w:rsidP="0051485C">
            <w:pPr>
              <w:jc w:val="both"/>
              <w:rPr>
                <w:rFonts w:asciiTheme="minorHAnsi" w:hAnsiTheme="minorHAnsi" w:cstheme="minorHAnsi"/>
              </w:rPr>
            </w:pPr>
          </w:p>
          <w:p w14:paraId="4F40F0CD" w14:textId="405781ED" w:rsidR="0051485C" w:rsidRPr="00D208E1" w:rsidRDefault="0051485C" w:rsidP="0051485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1485C">
              <w:rPr>
                <w:rFonts w:asciiTheme="minorHAnsi" w:hAnsiTheme="minorHAnsi" w:cstheme="minorHAnsi"/>
                <w:b/>
              </w:rPr>
              <w:t>Axe 7.</w:t>
            </w:r>
            <w:r>
              <w:rPr>
                <w:rFonts w:asciiTheme="minorHAnsi" w:hAnsiTheme="minorHAnsi" w:cstheme="minorHAnsi"/>
              </w:rPr>
              <w:t xml:space="preserve"> : </w:t>
            </w:r>
            <w:r w:rsidRPr="00D208E1">
              <w:rPr>
                <w:rFonts w:asciiTheme="minorHAnsi" w:hAnsiTheme="minorHAnsi" w:cstheme="minorHAnsi"/>
                <w:b/>
              </w:rPr>
              <w:t>un système de santé performant en matière de promotion de la santé et prévention</w:t>
            </w:r>
          </w:p>
          <w:p w14:paraId="056312A5" w14:textId="7779AC91" w:rsidR="0051485C" w:rsidRDefault="0051485C" w:rsidP="0051485C">
            <w:pPr>
              <w:jc w:val="both"/>
              <w:rPr>
                <w:rFonts w:asciiTheme="minorHAnsi" w:hAnsiTheme="minorHAnsi" w:cstheme="minorHAnsi"/>
              </w:rPr>
            </w:pPr>
            <w:r w:rsidRPr="0051485C">
              <w:rPr>
                <w:rFonts w:asciiTheme="minorHAnsi" w:hAnsiTheme="minorHAnsi" w:cstheme="minorHAnsi"/>
                <w:u w:val="single"/>
              </w:rPr>
              <w:t>Action 7.6</w:t>
            </w:r>
            <w:r>
              <w:rPr>
                <w:rFonts w:asciiTheme="minorHAnsi" w:hAnsiTheme="minorHAnsi" w:cstheme="minorHAnsi"/>
              </w:rPr>
              <w:t>. favoriser la création et le soutien aux maison de santé</w:t>
            </w:r>
          </w:p>
          <w:p w14:paraId="4A3AF193" w14:textId="77777777" w:rsidR="0051485C" w:rsidRDefault="0051485C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Porteur : DGS</w:t>
            </w:r>
          </w:p>
          <w:p w14:paraId="40BDA24A" w14:textId="77777777" w:rsidR="00B124EA" w:rsidRDefault="00B124EA" w:rsidP="008E5D2F">
            <w:pPr>
              <w:jc w:val="both"/>
              <w:rPr>
                <w:rFonts w:asciiTheme="minorHAnsi" w:hAnsiTheme="minorHAnsi" w:cstheme="minorHAnsi"/>
              </w:rPr>
            </w:pPr>
          </w:p>
          <w:p w14:paraId="724FE096" w14:textId="77777777" w:rsidR="00B124EA" w:rsidRDefault="00B124EA" w:rsidP="008E5D2F">
            <w:pPr>
              <w:jc w:val="both"/>
              <w:rPr>
                <w:rFonts w:asciiTheme="minorHAnsi" w:hAnsiTheme="minorHAnsi" w:cstheme="minorHAnsi"/>
              </w:rPr>
            </w:pPr>
            <w:r w:rsidRPr="00B124EA">
              <w:rPr>
                <w:rFonts w:asciiTheme="minorHAnsi" w:hAnsiTheme="minorHAnsi" w:cstheme="minorHAnsi"/>
                <w:b/>
              </w:rPr>
              <w:t>Axe 8</w:t>
            </w:r>
            <w:r>
              <w:rPr>
                <w:rFonts w:asciiTheme="minorHAnsi" w:hAnsiTheme="minorHAnsi" w:cstheme="minorHAnsi"/>
              </w:rPr>
              <w:t xml:space="preserve"> : </w:t>
            </w:r>
            <w:r w:rsidRPr="00D208E1">
              <w:rPr>
                <w:rFonts w:asciiTheme="minorHAnsi" w:hAnsiTheme="minorHAnsi" w:cstheme="minorHAnsi"/>
                <w:b/>
              </w:rPr>
              <w:t>conditions cadre favorables à la santé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A8357B7" w14:textId="4409D6DA" w:rsidR="00B124EA" w:rsidRDefault="00B124EA" w:rsidP="008E5D2F">
            <w:pPr>
              <w:jc w:val="both"/>
              <w:rPr>
                <w:rFonts w:asciiTheme="minorHAnsi" w:hAnsiTheme="minorHAnsi" w:cstheme="minorHAnsi"/>
              </w:rPr>
            </w:pPr>
            <w:r w:rsidRPr="00B124EA">
              <w:rPr>
                <w:rFonts w:asciiTheme="minorHAnsi" w:hAnsiTheme="minorHAnsi" w:cstheme="minorHAnsi"/>
                <w:u w:val="single"/>
              </w:rPr>
              <w:t>Action 8.10</w:t>
            </w:r>
            <w:r>
              <w:rPr>
                <w:rFonts w:asciiTheme="minorHAnsi" w:hAnsiTheme="minorHAnsi" w:cstheme="minorHAnsi"/>
              </w:rPr>
              <w:t>. : application de la politique cohésion sociale en milieu urbain</w:t>
            </w:r>
          </w:p>
          <w:p w14:paraId="150CA5D4" w14:textId="4D884185" w:rsidR="00B124EA" w:rsidRDefault="00B124EA" w:rsidP="008E5D2F">
            <w:pPr>
              <w:jc w:val="both"/>
              <w:rPr>
                <w:rFonts w:asciiTheme="minorHAnsi" w:hAnsiTheme="minorHAnsi" w:cstheme="minorHAnsi"/>
              </w:rPr>
            </w:pPr>
            <w:r w:rsidRPr="00B124EA">
              <w:rPr>
                <w:rFonts w:asciiTheme="minorHAnsi" w:hAnsiTheme="minorHAnsi" w:cstheme="minorHAnsi"/>
                <w:u w:val="single"/>
              </w:rPr>
              <w:t>Action 8.11</w:t>
            </w:r>
            <w:r>
              <w:rPr>
                <w:rFonts w:asciiTheme="minorHAnsi" w:hAnsiTheme="minorHAnsi" w:cstheme="minorHAnsi"/>
              </w:rPr>
              <w:t>. : instaurer et déployer le label « Commune en santé » soit valoriser des mesures de promotion de la santé pour renforcer la santé de proximité.</w:t>
            </w:r>
          </w:p>
          <w:p w14:paraId="54533603" w14:textId="1BDB359C" w:rsidR="00B124EA" w:rsidRPr="008E5D2F" w:rsidRDefault="00B124EA" w:rsidP="008E5D2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Porteur DCS et DGS</w:t>
            </w:r>
          </w:p>
        </w:tc>
      </w:tr>
      <w:tr w:rsidR="00961657" w14:paraId="541B390F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5A1B" w14:textId="43529715" w:rsidR="00961657" w:rsidRPr="008E5D2F" w:rsidRDefault="00A871EB" w:rsidP="008E5D2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color w:val="FFFFFF" w:themeColor="background1"/>
              </w:rPr>
              <w:lastRenderedPageBreak/>
              <w:t>Lien avec l’employabilité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A330" w14:textId="18B34069" w:rsidR="005C6EA4" w:rsidRPr="008E5D2F" w:rsidRDefault="00850957" w:rsidP="002875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Passant par les structures existantes : associations, maison quartier etc. créer des espaces santé et former des </w:t>
            </w:r>
            <w:r w:rsidRPr="00D1779D">
              <w:rPr>
                <w:rFonts w:asciiTheme="minorHAnsi" w:hAnsiTheme="minorHAnsi" w:cstheme="minorHAnsi"/>
                <w:b/>
              </w:rPr>
              <w:t>agents de santé</w:t>
            </w:r>
            <w:r>
              <w:rPr>
                <w:rFonts w:asciiTheme="minorHAnsi" w:hAnsiTheme="minorHAnsi" w:cstheme="minorHAnsi"/>
              </w:rPr>
              <w:t xml:space="preserve"> pour la médiation, promotion santé (eau, habitat, alimentation</w:t>
            </w:r>
            <w:r w:rsidR="00D1779D">
              <w:rPr>
                <w:rFonts w:asciiTheme="minorHAnsi" w:hAnsiTheme="minorHAnsi" w:cstheme="minorHAnsi"/>
              </w:rPr>
              <w:t>, consommation de substances</w:t>
            </w:r>
            <w:r w:rsidR="00B124EA">
              <w:rPr>
                <w:rFonts w:asciiTheme="minorHAnsi" w:hAnsiTheme="minorHAnsi" w:cstheme="minorHAnsi"/>
              </w:rPr>
              <w:t>, boissons sucrées, tabac</w:t>
            </w:r>
            <w:r w:rsidR="00D1779D">
              <w:rPr>
                <w:rFonts w:asciiTheme="minorHAnsi" w:hAnsiTheme="minorHAnsi" w:cstheme="minorHAnsi"/>
              </w:rPr>
              <w:t>)</w:t>
            </w:r>
            <w:r w:rsidR="00D208E1">
              <w:rPr>
                <w:rFonts w:asciiTheme="minorHAnsi" w:hAnsiTheme="minorHAnsi" w:cstheme="minorHAnsi"/>
              </w:rPr>
              <w:t xml:space="preserve"> ou des agents du territoire et de la personne (ATEPE).</w:t>
            </w:r>
            <w:r w:rsidR="00D1779D">
              <w:rPr>
                <w:rFonts w:asciiTheme="minorHAnsi" w:hAnsiTheme="minorHAnsi" w:cstheme="minorHAnsi"/>
              </w:rPr>
              <w:t xml:space="preserve"> Politique proche aidant : informer et former (45'000 proche aidants à Genève) les proches aidants financièrement aussi. </w:t>
            </w:r>
            <w:r w:rsidR="0051485C">
              <w:rPr>
                <w:rFonts w:asciiTheme="minorHAnsi" w:hAnsiTheme="minorHAnsi" w:cstheme="minorHAnsi"/>
              </w:rPr>
              <w:t xml:space="preserve">Les personnes âgées à domicile : former des </w:t>
            </w:r>
            <w:r w:rsidR="0051485C" w:rsidRPr="0051485C">
              <w:rPr>
                <w:rFonts w:asciiTheme="minorHAnsi" w:hAnsiTheme="minorHAnsi" w:cstheme="minorHAnsi"/>
                <w:b/>
              </w:rPr>
              <w:t>assistants domicile</w:t>
            </w:r>
            <w:r w:rsidR="0051485C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961657" w14:paraId="6840DE2E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8147" w14:textId="77777777" w:rsidR="00961657" w:rsidRPr="008E5D2F" w:rsidRDefault="009556BA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E5D2F">
              <w:rPr>
                <w:rFonts w:asciiTheme="minorHAnsi" w:hAnsiTheme="minorHAnsi" w:cstheme="minorHAnsi"/>
                <w:color w:val="FFFFFF" w:themeColor="background1"/>
              </w:rPr>
              <w:t>Références à d’autres documents importants</w:t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83B1" w14:textId="283E346A" w:rsidR="00D208E1" w:rsidRDefault="00D208E1" w:rsidP="008E5D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Concept cantonal de la promotion et de la santé</w:t>
            </w:r>
          </w:p>
          <w:p w14:paraId="017BB0BC" w14:textId="5681B7E0" w:rsidR="00090721" w:rsidRDefault="00D208E1" w:rsidP="008E5D2F">
            <w:pPr>
              <w:rPr>
                <w:rFonts w:asciiTheme="minorHAnsi" w:hAnsiTheme="minorHAnsi" w:cstheme="minorHAnsi"/>
              </w:rPr>
            </w:pPr>
            <w:hyperlink r:id="rId8" w:history="1">
              <w:r w:rsidRPr="007139F9">
                <w:rPr>
                  <w:rStyle w:val="Lienhypertexte"/>
                  <w:rFonts w:asciiTheme="minorHAnsi" w:hAnsiTheme="minorHAnsi" w:cstheme="minorHAnsi"/>
                </w:rPr>
                <w:t>https://www.ge.ch/document/1374/telecharger</w:t>
              </w:r>
            </w:hyperlink>
          </w:p>
          <w:p w14:paraId="4977E624" w14:textId="17C4BDC9" w:rsidR="00D208E1" w:rsidRDefault="00D208E1" w:rsidP="008E5D2F">
            <w:pPr>
              <w:rPr>
                <w:rFonts w:asciiTheme="minorHAnsi" w:hAnsiTheme="minorHAnsi" w:cstheme="minorHAnsi"/>
              </w:rPr>
            </w:pPr>
          </w:p>
          <w:p w14:paraId="71B17F2A" w14:textId="1E16EF59" w:rsidR="00D208E1" w:rsidRDefault="00D208E1" w:rsidP="008E5D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Présentation du concept cantonal</w:t>
            </w:r>
          </w:p>
          <w:p w14:paraId="70E8E619" w14:textId="7864CFD1" w:rsidR="00D208E1" w:rsidRDefault="00D208E1" w:rsidP="008E5D2F">
            <w:pPr>
              <w:rPr>
                <w:rFonts w:asciiTheme="minorHAnsi" w:hAnsiTheme="minorHAnsi" w:cstheme="minorHAnsi"/>
              </w:rPr>
            </w:pPr>
            <w:hyperlink r:id="rId9" w:history="1">
              <w:r w:rsidRPr="007139F9">
                <w:rPr>
                  <w:rStyle w:val="Lienhypertexte"/>
                  <w:rFonts w:asciiTheme="minorHAnsi" w:hAnsiTheme="minorHAnsi" w:cstheme="minorHAnsi"/>
                </w:rPr>
                <w:t>https://www.ge.ch/document/1374/annexe/0</w:t>
              </w:r>
            </w:hyperlink>
          </w:p>
          <w:p w14:paraId="3CD28A5A" w14:textId="77777777" w:rsidR="00D208E1" w:rsidRDefault="00D208E1" w:rsidP="008E5D2F">
            <w:pPr>
              <w:rPr>
                <w:rFonts w:asciiTheme="minorHAnsi" w:hAnsiTheme="minorHAnsi" w:cstheme="minorHAnsi"/>
              </w:rPr>
            </w:pPr>
          </w:p>
          <w:p w14:paraId="056BD906" w14:textId="77777777" w:rsidR="00D208E1" w:rsidRPr="008E5D2F" w:rsidRDefault="00D208E1" w:rsidP="008E5D2F">
            <w:pPr>
              <w:rPr>
                <w:rFonts w:asciiTheme="minorHAnsi" w:hAnsiTheme="minorHAnsi" w:cstheme="minorHAnsi"/>
              </w:rPr>
            </w:pPr>
          </w:p>
          <w:p w14:paraId="09644F3F" w14:textId="4E85723F" w:rsidR="008E5D2F" w:rsidRPr="008E5D2F" w:rsidRDefault="008E5D2F" w:rsidP="008E5D2F">
            <w:pPr>
              <w:pStyle w:val="Paragraphedelis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D2F" w14:paraId="11799ADF" w14:textId="77777777" w:rsidTr="00F21F5C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70B1" w14:textId="77777777" w:rsidR="008E5D2F" w:rsidRPr="008E5D2F" w:rsidRDefault="008E5D2F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F1F2" w14:textId="77777777" w:rsidR="008E5D2F" w:rsidRPr="008E5D2F" w:rsidRDefault="008E5D2F" w:rsidP="008E5D2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1B6A97" w14:textId="6B56AC03" w:rsidR="00957865" w:rsidRDefault="001C64E3" w:rsidP="008E5D2F">
      <w:pPr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Sacervon</w:t>
      </w:r>
      <w:proofErr w:type="spellEnd"/>
      <w:r>
        <w:rPr>
          <w:sz w:val="16"/>
          <w:szCs w:val="16"/>
        </w:rPr>
        <w:t>-juillet 2022</w:t>
      </w:r>
    </w:p>
    <w:p w14:paraId="7711D9EF" w14:textId="02E2A6EE" w:rsidR="001C64E3" w:rsidRDefault="001C64E3" w:rsidP="008E5D2F">
      <w:pPr>
        <w:jc w:val="right"/>
        <w:rPr>
          <w:sz w:val="16"/>
          <w:szCs w:val="16"/>
        </w:rPr>
      </w:pPr>
    </w:p>
    <w:p w14:paraId="4C2AAABD" w14:textId="1BE4E9EF" w:rsidR="001C64E3" w:rsidRDefault="001C64E3" w:rsidP="008E5D2F">
      <w:pPr>
        <w:jc w:val="right"/>
        <w:rPr>
          <w:sz w:val="16"/>
          <w:szCs w:val="16"/>
        </w:rPr>
      </w:pPr>
    </w:p>
    <w:p w14:paraId="37EF3511" w14:textId="6ED38C56" w:rsidR="001C64E3" w:rsidRDefault="001C64E3" w:rsidP="008E5D2F">
      <w:pPr>
        <w:jc w:val="right"/>
        <w:rPr>
          <w:sz w:val="16"/>
          <w:szCs w:val="16"/>
        </w:rPr>
      </w:pPr>
    </w:p>
    <w:p w14:paraId="6EE371D8" w14:textId="77777777" w:rsidR="0052183F" w:rsidRDefault="0052183F" w:rsidP="001C64E3">
      <w:pPr>
        <w:rPr>
          <w:b/>
          <w:i/>
          <w:sz w:val="24"/>
          <w:szCs w:val="24"/>
        </w:rPr>
      </w:pPr>
      <w:bookmarkStart w:id="0" w:name="_GoBack"/>
      <w:bookmarkEnd w:id="0"/>
    </w:p>
    <w:p w14:paraId="7FE15F4D" w14:textId="77777777" w:rsidR="0052183F" w:rsidRDefault="0052183F" w:rsidP="001C64E3">
      <w:pPr>
        <w:rPr>
          <w:b/>
          <w:i/>
          <w:sz w:val="24"/>
          <w:szCs w:val="24"/>
        </w:rPr>
      </w:pPr>
    </w:p>
    <w:p w14:paraId="733E203B" w14:textId="269366F4" w:rsidR="001C64E3" w:rsidRPr="001C64E3" w:rsidRDefault="001C64E3" w:rsidP="001C64E3">
      <w:pPr>
        <w:rPr>
          <w:b/>
          <w:i/>
          <w:sz w:val="24"/>
          <w:szCs w:val="24"/>
        </w:rPr>
      </w:pPr>
      <w:r w:rsidRPr="001C64E3">
        <w:rPr>
          <w:b/>
          <w:i/>
          <w:sz w:val="24"/>
          <w:szCs w:val="24"/>
        </w:rPr>
        <w:t>Annexe 1</w:t>
      </w:r>
      <w:r w:rsidR="00AE0B72">
        <w:rPr>
          <w:b/>
          <w:i/>
          <w:sz w:val="24"/>
          <w:szCs w:val="24"/>
        </w:rPr>
        <w:t> : cadre de référence du Concept</w:t>
      </w:r>
    </w:p>
    <w:p w14:paraId="68E9DF72" w14:textId="6F2E098E" w:rsidR="001C64E3" w:rsidRDefault="001C64E3" w:rsidP="008E5D2F">
      <w:pPr>
        <w:jc w:val="right"/>
        <w:rPr>
          <w:sz w:val="16"/>
          <w:szCs w:val="16"/>
        </w:rPr>
      </w:pPr>
    </w:p>
    <w:p w14:paraId="54317110" w14:textId="07CB62FC" w:rsidR="001C64E3" w:rsidRDefault="001C64E3" w:rsidP="008E5D2F">
      <w:pPr>
        <w:jc w:val="right"/>
        <w:rPr>
          <w:sz w:val="16"/>
          <w:szCs w:val="16"/>
        </w:rPr>
      </w:pPr>
    </w:p>
    <w:p w14:paraId="20A10DCE" w14:textId="27ABBDF0" w:rsidR="001C64E3" w:rsidRDefault="001C64E3" w:rsidP="008E5D2F">
      <w:pPr>
        <w:jc w:val="right"/>
        <w:rPr>
          <w:sz w:val="16"/>
          <w:szCs w:val="16"/>
        </w:rPr>
      </w:pPr>
      <w:r>
        <w:rPr>
          <w:noProof/>
        </w:rPr>
        <w:drawing>
          <wp:inline distT="0" distB="0" distL="0" distR="0" wp14:anchorId="5FE88BFB" wp14:editId="373D116E">
            <wp:extent cx="6067414" cy="7460243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4131" cy="754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261C1" w14:textId="2A8CDA1E" w:rsidR="002F70D3" w:rsidRDefault="002F70D3" w:rsidP="008E5D2F">
      <w:pPr>
        <w:jc w:val="right"/>
        <w:rPr>
          <w:sz w:val="16"/>
          <w:szCs w:val="16"/>
        </w:rPr>
      </w:pPr>
    </w:p>
    <w:p w14:paraId="789882CB" w14:textId="0DDEAB0C" w:rsidR="002F70D3" w:rsidRDefault="002F70D3" w:rsidP="008E5D2F">
      <w:pPr>
        <w:jc w:val="right"/>
        <w:rPr>
          <w:sz w:val="16"/>
          <w:szCs w:val="16"/>
        </w:rPr>
      </w:pPr>
    </w:p>
    <w:p w14:paraId="3254A43B" w14:textId="742D401A" w:rsidR="002F70D3" w:rsidRDefault="002F70D3" w:rsidP="008E5D2F">
      <w:pPr>
        <w:jc w:val="right"/>
        <w:rPr>
          <w:sz w:val="16"/>
          <w:szCs w:val="16"/>
        </w:rPr>
      </w:pPr>
    </w:p>
    <w:p w14:paraId="07010907" w14:textId="4DC41474" w:rsidR="002F70D3" w:rsidRDefault="002F70D3" w:rsidP="008E5D2F">
      <w:pPr>
        <w:jc w:val="right"/>
        <w:rPr>
          <w:sz w:val="16"/>
          <w:szCs w:val="16"/>
        </w:rPr>
      </w:pPr>
    </w:p>
    <w:p w14:paraId="3835A88E" w14:textId="77777777" w:rsidR="00173587" w:rsidRDefault="00173587" w:rsidP="002F70D3">
      <w:pPr>
        <w:rPr>
          <w:b/>
          <w:i/>
          <w:sz w:val="24"/>
          <w:szCs w:val="24"/>
        </w:rPr>
      </w:pPr>
    </w:p>
    <w:p w14:paraId="765187D8" w14:textId="4827C176" w:rsidR="002F70D3" w:rsidRPr="002F70D3" w:rsidRDefault="002F70D3" w:rsidP="002F70D3">
      <w:pPr>
        <w:rPr>
          <w:b/>
          <w:i/>
          <w:sz w:val="24"/>
          <w:szCs w:val="24"/>
        </w:rPr>
      </w:pPr>
      <w:r w:rsidRPr="002F70D3">
        <w:rPr>
          <w:b/>
          <w:i/>
          <w:sz w:val="24"/>
          <w:szCs w:val="24"/>
        </w:rPr>
        <w:t>Annexe 2</w:t>
      </w:r>
      <w:r w:rsidR="00AE0B72">
        <w:rPr>
          <w:b/>
          <w:i/>
          <w:sz w:val="24"/>
          <w:szCs w:val="24"/>
        </w:rPr>
        <w:t> : axes d’actions</w:t>
      </w:r>
    </w:p>
    <w:p w14:paraId="3C0BD62E" w14:textId="2B28C54C" w:rsidR="001C64E3" w:rsidRDefault="002F70D3" w:rsidP="001C64E3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52D94616" wp14:editId="7F791599">
            <wp:extent cx="5903595" cy="3957855"/>
            <wp:effectExtent l="0" t="0" r="1905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6907" cy="396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5ACCE" w14:textId="7E633D83" w:rsidR="002F70D3" w:rsidRDefault="002F70D3" w:rsidP="001C64E3">
      <w:pPr>
        <w:rPr>
          <w:sz w:val="16"/>
          <w:szCs w:val="16"/>
        </w:rPr>
      </w:pPr>
    </w:p>
    <w:p w14:paraId="403BD342" w14:textId="685B9A65" w:rsidR="002F70D3" w:rsidRDefault="002F70D3" w:rsidP="001C64E3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1D550553" wp14:editId="4BB98839">
            <wp:extent cx="5988436" cy="39243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1180" cy="392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EFF77" w14:textId="01ABE520" w:rsidR="002F70D3" w:rsidRDefault="002F70D3" w:rsidP="001C64E3">
      <w:pPr>
        <w:rPr>
          <w:sz w:val="16"/>
          <w:szCs w:val="16"/>
        </w:rPr>
      </w:pPr>
    </w:p>
    <w:p w14:paraId="3A81B9D8" w14:textId="1DC3564F" w:rsidR="002F70D3" w:rsidRDefault="002F70D3" w:rsidP="001C64E3">
      <w:pPr>
        <w:rPr>
          <w:sz w:val="16"/>
          <w:szCs w:val="16"/>
        </w:rPr>
      </w:pPr>
    </w:p>
    <w:p w14:paraId="69D2E013" w14:textId="59EB2EC3" w:rsidR="002F70D3" w:rsidRDefault="002F70D3" w:rsidP="001C64E3">
      <w:pPr>
        <w:rPr>
          <w:sz w:val="16"/>
          <w:szCs w:val="16"/>
        </w:rPr>
      </w:pPr>
    </w:p>
    <w:p w14:paraId="2E6DE454" w14:textId="48DD3D29" w:rsidR="002F70D3" w:rsidRDefault="002F70D3" w:rsidP="001C64E3">
      <w:pPr>
        <w:rPr>
          <w:sz w:val="16"/>
          <w:szCs w:val="16"/>
        </w:rPr>
      </w:pPr>
    </w:p>
    <w:p w14:paraId="6A803525" w14:textId="5383B1D2" w:rsidR="002F70D3" w:rsidRDefault="002F70D3" w:rsidP="001C64E3">
      <w:pPr>
        <w:rPr>
          <w:sz w:val="16"/>
          <w:szCs w:val="16"/>
        </w:rPr>
      </w:pPr>
    </w:p>
    <w:p w14:paraId="7E4995E9" w14:textId="6808F691" w:rsidR="002F70D3" w:rsidRDefault="002F70D3" w:rsidP="001C64E3">
      <w:pPr>
        <w:rPr>
          <w:sz w:val="16"/>
          <w:szCs w:val="16"/>
        </w:rPr>
      </w:pPr>
    </w:p>
    <w:p w14:paraId="3AE7FA4F" w14:textId="707A762C" w:rsidR="002F70D3" w:rsidRDefault="002F70D3" w:rsidP="001C64E3">
      <w:pPr>
        <w:rPr>
          <w:sz w:val="16"/>
          <w:szCs w:val="16"/>
        </w:rPr>
      </w:pPr>
    </w:p>
    <w:p w14:paraId="25146F25" w14:textId="1BF8AD58" w:rsidR="002F70D3" w:rsidRDefault="002F70D3" w:rsidP="001C64E3">
      <w:pPr>
        <w:rPr>
          <w:sz w:val="16"/>
          <w:szCs w:val="16"/>
        </w:rPr>
      </w:pPr>
    </w:p>
    <w:p w14:paraId="2E1EC6B6" w14:textId="6DBA015E" w:rsidR="002F70D3" w:rsidRDefault="002F70D3" w:rsidP="001C64E3">
      <w:pPr>
        <w:rPr>
          <w:sz w:val="16"/>
          <w:szCs w:val="16"/>
        </w:rPr>
      </w:pPr>
    </w:p>
    <w:p w14:paraId="13D35768" w14:textId="2D6B9E40" w:rsidR="002F70D3" w:rsidRDefault="002F70D3" w:rsidP="001C64E3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5CB1F5E3" wp14:editId="7AB8DFB2">
            <wp:extent cx="5991225" cy="3769611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5841" cy="37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2D033" w14:textId="3262C387" w:rsidR="002F70D3" w:rsidRDefault="002F70D3" w:rsidP="001C64E3">
      <w:pPr>
        <w:rPr>
          <w:sz w:val="16"/>
          <w:szCs w:val="16"/>
        </w:rPr>
      </w:pPr>
    </w:p>
    <w:p w14:paraId="11F3EDE8" w14:textId="78D70A18" w:rsidR="002F70D3" w:rsidRPr="008E5D2F" w:rsidRDefault="002F70D3" w:rsidP="001C64E3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6CAB42DC" wp14:editId="04ACF070">
            <wp:extent cx="6093462" cy="3790950"/>
            <wp:effectExtent l="0" t="0" r="25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5536" cy="37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0D3" w:rsidRPr="008E5D2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5AF33" w14:textId="77777777" w:rsidR="00AC159F" w:rsidRDefault="00AC159F" w:rsidP="00F0296F">
      <w:r>
        <w:separator/>
      </w:r>
    </w:p>
  </w:endnote>
  <w:endnote w:type="continuationSeparator" w:id="0">
    <w:p w14:paraId="307EC0D9" w14:textId="77777777" w:rsidR="00AC159F" w:rsidRDefault="00AC159F" w:rsidP="00F0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E4F52" w14:textId="77777777" w:rsidR="00AC159F" w:rsidRDefault="00AC159F" w:rsidP="00F0296F">
      <w:r>
        <w:separator/>
      </w:r>
    </w:p>
  </w:footnote>
  <w:footnote w:type="continuationSeparator" w:id="0">
    <w:p w14:paraId="7BB41DFF" w14:textId="77777777" w:rsidR="00AC159F" w:rsidRDefault="00AC159F" w:rsidP="00F0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71F21" w14:textId="77777777" w:rsidR="00F0296F" w:rsidRPr="007048A0" w:rsidRDefault="00D208E1" w:rsidP="007048A0">
    <w:pPr>
      <w:pStyle w:val="En-tte"/>
      <w:jc w:val="center"/>
      <w:rPr>
        <w:b/>
        <w:color w:val="76923C" w:themeColor="accent3" w:themeShade="BF"/>
      </w:rPr>
    </w:pPr>
    <w:sdt>
      <w:sdtPr>
        <w:rPr>
          <w:b/>
          <w:color w:val="76923C" w:themeColor="accent3" w:themeShade="BF"/>
        </w:rPr>
        <w:id w:val="473412542"/>
        <w:docPartObj>
          <w:docPartGallery w:val="Page Numbers (Margins)"/>
          <w:docPartUnique/>
        </w:docPartObj>
      </w:sdtPr>
      <w:sdtEndPr/>
      <w:sdtContent>
        <w:r w:rsidR="00F0296F" w:rsidRPr="007048A0">
          <w:rPr>
            <w:b/>
            <w:noProof/>
            <w:color w:val="76923C" w:themeColor="accent3" w:themeShade="BF"/>
            <w:lang w:eastAsia="fr-CH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C19170" wp14:editId="39F5487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1EA8BE0" w14:textId="576E4E0A" w:rsidR="00F0296F" w:rsidRDefault="00F0296F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A53EBF" w:rsidRPr="00A53EB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C19170" id="Rectangle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1EA8BE0" w14:textId="576E4E0A" w:rsidR="00F0296F" w:rsidRDefault="00F0296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A53EBF" w:rsidRPr="00A53EB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048A0" w:rsidRPr="007048A0">
      <w:rPr>
        <w:b/>
        <w:color w:val="76923C" w:themeColor="accent3" w:themeShade="BF"/>
      </w:rPr>
      <w:t>Un revenu de transition écologique à Genève : phase préliminaire</w:t>
    </w:r>
  </w:p>
  <w:p w14:paraId="7F423783" w14:textId="77777777" w:rsidR="007048A0" w:rsidRPr="007048A0" w:rsidRDefault="007048A0" w:rsidP="007048A0">
    <w:pPr>
      <w:pStyle w:val="En-tte"/>
      <w:jc w:val="center"/>
      <w:rPr>
        <w:b/>
        <w:color w:val="76923C" w:themeColor="accent3" w:themeShade="BF"/>
      </w:rPr>
    </w:pPr>
    <w:r w:rsidRPr="007048A0">
      <w:rPr>
        <w:b/>
        <w:color w:val="76923C" w:themeColor="accent3" w:themeShade="BF"/>
      </w:rPr>
      <w:t>Lecture et synthèse de documents – plans cantonaux</w:t>
    </w:r>
  </w:p>
  <w:p w14:paraId="2A58869D" w14:textId="77777777" w:rsidR="007048A0" w:rsidRDefault="007048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017"/>
    <w:multiLevelType w:val="hybridMultilevel"/>
    <w:tmpl w:val="D556BFEA"/>
    <w:lvl w:ilvl="0" w:tplc="F1D41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E92"/>
    <w:multiLevelType w:val="hybridMultilevel"/>
    <w:tmpl w:val="E37CB7D4"/>
    <w:lvl w:ilvl="0" w:tplc="CD468BE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878A4"/>
    <w:multiLevelType w:val="hybridMultilevel"/>
    <w:tmpl w:val="B692A8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468F7"/>
    <w:multiLevelType w:val="hybridMultilevel"/>
    <w:tmpl w:val="0D362606"/>
    <w:lvl w:ilvl="0" w:tplc="6896D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22177"/>
    <w:multiLevelType w:val="hybridMultilevel"/>
    <w:tmpl w:val="F59CEC6C"/>
    <w:lvl w:ilvl="0" w:tplc="1FDCB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84442"/>
    <w:multiLevelType w:val="hybridMultilevel"/>
    <w:tmpl w:val="0D362606"/>
    <w:lvl w:ilvl="0" w:tplc="6896D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57"/>
    <w:rsid w:val="000300BD"/>
    <w:rsid w:val="00050F04"/>
    <w:rsid w:val="00053FAC"/>
    <w:rsid w:val="00061FE5"/>
    <w:rsid w:val="00090721"/>
    <w:rsid w:val="000B193C"/>
    <w:rsid w:val="000D4AB6"/>
    <w:rsid w:val="001259F3"/>
    <w:rsid w:val="001302C3"/>
    <w:rsid w:val="00173587"/>
    <w:rsid w:val="001C64E3"/>
    <w:rsid w:val="001D6A2D"/>
    <w:rsid w:val="001D7AAB"/>
    <w:rsid w:val="002875A2"/>
    <w:rsid w:val="002D6175"/>
    <w:rsid w:val="002F70D3"/>
    <w:rsid w:val="0030383C"/>
    <w:rsid w:val="00303BCB"/>
    <w:rsid w:val="0032282B"/>
    <w:rsid w:val="00323640"/>
    <w:rsid w:val="00360E9F"/>
    <w:rsid w:val="00371323"/>
    <w:rsid w:val="003B6471"/>
    <w:rsid w:val="003D6073"/>
    <w:rsid w:val="004116F5"/>
    <w:rsid w:val="00443171"/>
    <w:rsid w:val="004A55CF"/>
    <w:rsid w:val="004B2EA7"/>
    <w:rsid w:val="004C43C6"/>
    <w:rsid w:val="004D6022"/>
    <w:rsid w:val="0051485C"/>
    <w:rsid w:val="0052183F"/>
    <w:rsid w:val="00547E7C"/>
    <w:rsid w:val="00555C80"/>
    <w:rsid w:val="005A6D74"/>
    <w:rsid w:val="005C6EA4"/>
    <w:rsid w:val="005D6D9F"/>
    <w:rsid w:val="006057CE"/>
    <w:rsid w:val="006221B2"/>
    <w:rsid w:val="006930F0"/>
    <w:rsid w:val="006B4E24"/>
    <w:rsid w:val="007048A0"/>
    <w:rsid w:val="00740DE7"/>
    <w:rsid w:val="00751076"/>
    <w:rsid w:val="007579DB"/>
    <w:rsid w:val="007841BC"/>
    <w:rsid w:val="007A1EBE"/>
    <w:rsid w:val="007A1F25"/>
    <w:rsid w:val="007A23AA"/>
    <w:rsid w:val="007B226F"/>
    <w:rsid w:val="00850957"/>
    <w:rsid w:val="00862E28"/>
    <w:rsid w:val="008769EC"/>
    <w:rsid w:val="00887CB6"/>
    <w:rsid w:val="008978C8"/>
    <w:rsid w:val="008A471A"/>
    <w:rsid w:val="008C0BA3"/>
    <w:rsid w:val="008E1FAC"/>
    <w:rsid w:val="008E5D2F"/>
    <w:rsid w:val="009556BA"/>
    <w:rsid w:val="00957865"/>
    <w:rsid w:val="00961657"/>
    <w:rsid w:val="009675D5"/>
    <w:rsid w:val="00A45F81"/>
    <w:rsid w:val="00A53EBF"/>
    <w:rsid w:val="00A871EB"/>
    <w:rsid w:val="00A87322"/>
    <w:rsid w:val="00AC159F"/>
    <w:rsid w:val="00AD05E2"/>
    <w:rsid w:val="00AE0B72"/>
    <w:rsid w:val="00B02E39"/>
    <w:rsid w:val="00B124EA"/>
    <w:rsid w:val="00B13FB3"/>
    <w:rsid w:val="00C019B0"/>
    <w:rsid w:val="00C04C25"/>
    <w:rsid w:val="00C220CB"/>
    <w:rsid w:val="00C26891"/>
    <w:rsid w:val="00C3625E"/>
    <w:rsid w:val="00CF3505"/>
    <w:rsid w:val="00D1779D"/>
    <w:rsid w:val="00D208E1"/>
    <w:rsid w:val="00D94D0E"/>
    <w:rsid w:val="00E42900"/>
    <w:rsid w:val="00E862B9"/>
    <w:rsid w:val="00EA3670"/>
    <w:rsid w:val="00F0296F"/>
    <w:rsid w:val="00F21F5C"/>
    <w:rsid w:val="00F36D45"/>
    <w:rsid w:val="00F87DAD"/>
    <w:rsid w:val="00FD6F9A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18E785"/>
  <w15:chartTrackingRefBased/>
  <w15:docId w15:val="{266EEB0A-CC36-408C-BBFF-E590348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657"/>
    <w:pPr>
      <w:spacing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2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296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F02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296F"/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rsid w:val="007048A0"/>
    <w:pPr>
      <w:ind w:left="720"/>
      <w:contextualSpacing/>
    </w:pPr>
    <w:rPr>
      <w:rFonts w:ascii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8E5D2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h/document/1374/telecharger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.ch/document/1374/annexe/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F481-96CB-4A85-9DAA-948D7947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3E6F2C74</Template>
  <TotalTime>217</TotalTime>
  <Pages>5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 Général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Cervoni, Sabina</dc:creator>
  <cp:keywords/>
  <dc:description/>
  <cp:lastModifiedBy>Sabina Cervoni</cp:lastModifiedBy>
  <cp:revision>24</cp:revision>
  <dcterms:created xsi:type="dcterms:W3CDTF">2022-07-11T11:30:00Z</dcterms:created>
  <dcterms:modified xsi:type="dcterms:W3CDTF">2022-07-12T08:25:00Z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1268136110</vt:i4>
  </property>
  <property fmtid="{D5CDD505-2E9C-101B-9397-08002B2CF9AE}" pid="3" name="_NewReviewCycle">
    <vt:lpwstr/>
  </property>
  <property fmtid="{D5CDD505-2E9C-101B-9397-08002B2CF9AE}" pid="4" name="_EmailSubject">
    <vt:lpwstr>Divers  GT RTE</vt:lpwstr>
  </property>
  <property fmtid="{D5CDD505-2E9C-101B-9397-08002B2CF9AE}" pid="5" name="_AuthorEmail">
    <vt:lpwstr>vincent.delorme@etat.ge.ch</vt:lpwstr>
  </property>
  <property fmtid="{D5CDD505-2E9C-101B-9397-08002B2CF9AE}" pid="6" name="_AuthorEmailDisplayName">
    <vt:lpwstr>Delorme Vincent (DCS)</vt:lpwstr>
  </property>
  <property fmtid="{D5CDD505-2E9C-101B-9397-08002B2CF9AE}" pid="7" name="_ReviewingToolsShownOnce">
    <vt:lpwstr/>
  </property>
</Properties>
</file>