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7E565" w14:textId="77777777" w:rsidR="00961657" w:rsidRPr="00A871EB" w:rsidRDefault="004A55CF" w:rsidP="00961657">
      <w:pPr>
        <w:rPr>
          <w:b/>
          <w:color w:val="76923C" w:themeColor="accent3" w:themeShade="BF"/>
          <w:sz w:val="32"/>
          <w:szCs w:val="32"/>
        </w:rPr>
      </w:pPr>
      <w:bookmarkStart w:id="0" w:name="_GoBack"/>
      <w:bookmarkEnd w:id="0"/>
      <w:r w:rsidRPr="00A871EB">
        <w:rPr>
          <w:b/>
          <w:color w:val="76923C" w:themeColor="accent3" w:themeShade="BF"/>
          <w:sz w:val="32"/>
          <w:szCs w:val="32"/>
        </w:rPr>
        <w:t>Fiche synthèse</w:t>
      </w:r>
    </w:p>
    <w:tbl>
      <w:tblPr>
        <w:tblW w:w="9204" w:type="dxa"/>
        <w:tblInd w:w="-152" w:type="dxa"/>
        <w:tblCellMar>
          <w:left w:w="0" w:type="dxa"/>
          <w:right w:w="0" w:type="dxa"/>
        </w:tblCellMar>
        <w:tblLook w:val="04A0" w:firstRow="1" w:lastRow="0" w:firstColumn="1" w:lastColumn="0" w:noHBand="0" w:noVBand="1"/>
      </w:tblPr>
      <w:tblGrid>
        <w:gridCol w:w="1408"/>
        <w:gridCol w:w="7796"/>
      </w:tblGrid>
      <w:tr w:rsidR="00961657" w14:paraId="53EF3A97" w14:textId="77777777" w:rsidTr="00B84CD4">
        <w:tc>
          <w:tcPr>
            <w:tcW w:w="1408" w:type="dxa"/>
            <w:tcBorders>
              <w:top w:val="single" w:sz="8" w:space="0" w:color="auto"/>
              <w:left w:val="single" w:sz="8" w:space="0" w:color="auto"/>
              <w:bottom w:val="single" w:sz="8" w:space="0" w:color="auto"/>
              <w:right w:val="single" w:sz="8" w:space="0" w:color="auto"/>
            </w:tcBorders>
            <w:shd w:val="clear" w:color="auto" w:fill="76923C" w:themeFill="accent3" w:themeFillShade="BF"/>
            <w:tcMar>
              <w:top w:w="0" w:type="dxa"/>
              <w:left w:w="108" w:type="dxa"/>
              <w:bottom w:w="0" w:type="dxa"/>
              <w:right w:w="108" w:type="dxa"/>
            </w:tcMar>
            <w:hideMark/>
          </w:tcPr>
          <w:p w14:paraId="384809F1" w14:textId="77777777" w:rsidR="00961657" w:rsidRPr="00636C31" w:rsidRDefault="00961657">
            <w:pPr>
              <w:rPr>
                <w:color w:val="FFFFFF" w:themeColor="background1"/>
                <w:sz w:val="18"/>
              </w:rPr>
            </w:pPr>
            <w:r w:rsidRPr="00636C31">
              <w:rPr>
                <w:color w:val="FFFFFF" w:themeColor="background1"/>
                <w:sz w:val="18"/>
              </w:rPr>
              <w:t>Nom du document</w:t>
            </w:r>
          </w:p>
        </w:tc>
        <w:tc>
          <w:tcPr>
            <w:tcW w:w="77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B6A821" w14:textId="77777777" w:rsidR="00687806" w:rsidRPr="00D06EA3" w:rsidRDefault="00AB7C26" w:rsidP="00636C31">
            <w:pPr>
              <w:jc w:val="both"/>
              <w:rPr>
                <w:sz w:val="20"/>
                <w:szCs w:val="20"/>
              </w:rPr>
            </w:pPr>
            <w:r w:rsidRPr="00D06EA3">
              <w:rPr>
                <w:sz w:val="20"/>
                <w:szCs w:val="20"/>
              </w:rPr>
              <w:t>Plan d’action pour une politique climatique basée sur la transition juste : un nouveau marché du travail écologique et social pour la Suisse</w:t>
            </w:r>
            <w:r w:rsidR="00B84CD4" w:rsidRPr="00D06EA3">
              <w:rPr>
                <w:sz w:val="20"/>
                <w:szCs w:val="20"/>
              </w:rPr>
              <w:t>.</w:t>
            </w:r>
          </w:p>
          <w:p w14:paraId="3EB22982" w14:textId="1FD9A5B4" w:rsidR="00687806" w:rsidRPr="00D06EA3" w:rsidRDefault="00687806" w:rsidP="00636C31">
            <w:pPr>
              <w:jc w:val="both"/>
              <w:rPr>
                <w:sz w:val="20"/>
                <w:szCs w:val="20"/>
              </w:rPr>
            </w:pPr>
          </w:p>
        </w:tc>
      </w:tr>
      <w:tr w:rsidR="004A55CF" w14:paraId="1E4FD75B" w14:textId="77777777" w:rsidTr="00B84CD4">
        <w:tc>
          <w:tcPr>
            <w:tcW w:w="1408" w:type="dxa"/>
            <w:tcBorders>
              <w:top w:val="nil"/>
              <w:left w:val="single" w:sz="8" w:space="0" w:color="auto"/>
              <w:bottom w:val="single" w:sz="8" w:space="0" w:color="auto"/>
              <w:right w:val="single" w:sz="8" w:space="0" w:color="auto"/>
            </w:tcBorders>
            <w:shd w:val="clear" w:color="auto" w:fill="76923C" w:themeFill="accent3" w:themeFillShade="BF"/>
            <w:tcMar>
              <w:top w:w="0" w:type="dxa"/>
              <w:left w:w="108" w:type="dxa"/>
              <w:bottom w:w="0" w:type="dxa"/>
              <w:right w:w="108" w:type="dxa"/>
            </w:tcMar>
          </w:tcPr>
          <w:p w14:paraId="1BA78EF2" w14:textId="77777777" w:rsidR="004A55CF" w:rsidRPr="00636C31" w:rsidRDefault="00164E77">
            <w:pPr>
              <w:rPr>
                <w:color w:val="FFFFFF" w:themeColor="background1"/>
                <w:sz w:val="18"/>
              </w:rPr>
            </w:pPr>
            <w:r w:rsidRPr="00636C31">
              <w:rPr>
                <w:color w:val="FFFFFF" w:themeColor="background1"/>
                <w:sz w:val="18"/>
              </w:rPr>
              <w:t>Date de publication</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239676" w14:textId="222B4006" w:rsidR="00AB7C26" w:rsidRPr="00D06EA3" w:rsidRDefault="00164E77" w:rsidP="00636C31">
            <w:pPr>
              <w:jc w:val="both"/>
              <w:rPr>
                <w:sz w:val="20"/>
                <w:szCs w:val="20"/>
              </w:rPr>
            </w:pPr>
            <w:r w:rsidRPr="00D06EA3">
              <w:rPr>
                <w:sz w:val="20"/>
                <w:szCs w:val="20"/>
              </w:rPr>
              <w:t>Mai 2021</w:t>
            </w:r>
            <w:r w:rsidR="00B84CD4" w:rsidRPr="00D06EA3">
              <w:rPr>
                <w:sz w:val="20"/>
                <w:szCs w:val="20"/>
              </w:rPr>
              <w:t>.</w:t>
            </w:r>
          </w:p>
        </w:tc>
      </w:tr>
      <w:tr w:rsidR="00961657" w14:paraId="68365397" w14:textId="77777777" w:rsidTr="00B84CD4">
        <w:tc>
          <w:tcPr>
            <w:tcW w:w="1408" w:type="dxa"/>
            <w:tcBorders>
              <w:top w:val="nil"/>
              <w:left w:val="single" w:sz="8" w:space="0" w:color="auto"/>
              <w:bottom w:val="single" w:sz="8" w:space="0" w:color="auto"/>
              <w:right w:val="single" w:sz="8" w:space="0" w:color="auto"/>
            </w:tcBorders>
            <w:shd w:val="clear" w:color="auto" w:fill="76923C" w:themeFill="accent3" w:themeFillShade="BF"/>
            <w:tcMar>
              <w:top w:w="0" w:type="dxa"/>
              <w:left w:w="108" w:type="dxa"/>
              <w:bottom w:w="0" w:type="dxa"/>
              <w:right w:w="108" w:type="dxa"/>
            </w:tcMar>
            <w:hideMark/>
          </w:tcPr>
          <w:p w14:paraId="78057128" w14:textId="77777777" w:rsidR="00961657" w:rsidRPr="00636C31" w:rsidRDefault="00961657">
            <w:pPr>
              <w:rPr>
                <w:color w:val="FFFFFF" w:themeColor="background1"/>
                <w:sz w:val="18"/>
              </w:rPr>
            </w:pPr>
            <w:r w:rsidRPr="00636C31">
              <w:rPr>
                <w:color w:val="FFFFFF" w:themeColor="background1"/>
                <w:sz w:val="18"/>
              </w:rPr>
              <w:t>Auteurs et départements concernés</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6BCA22" w14:textId="5FD6B5A3" w:rsidR="00E80909" w:rsidRPr="00D06EA3" w:rsidRDefault="00636C31" w:rsidP="00636C31">
            <w:pPr>
              <w:jc w:val="both"/>
              <w:rPr>
                <w:sz w:val="20"/>
                <w:szCs w:val="20"/>
              </w:rPr>
            </w:pPr>
            <w:r w:rsidRPr="00D06EA3">
              <w:rPr>
                <w:sz w:val="20"/>
                <w:szCs w:val="20"/>
              </w:rPr>
              <w:t>Travail.Suisse (</w:t>
            </w:r>
            <w:r w:rsidR="00AB7C26" w:rsidRPr="00D06EA3">
              <w:rPr>
                <w:sz w:val="20"/>
                <w:szCs w:val="20"/>
              </w:rPr>
              <w:t>Denis Torche</w:t>
            </w:r>
            <w:r w:rsidR="00CD2825" w:rsidRPr="00D06EA3">
              <w:rPr>
                <w:sz w:val="20"/>
                <w:szCs w:val="20"/>
              </w:rPr>
              <w:t>, r</w:t>
            </w:r>
            <w:r w:rsidR="00AB7C26" w:rsidRPr="00D06EA3">
              <w:rPr>
                <w:sz w:val="20"/>
                <w:szCs w:val="20"/>
              </w:rPr>
              <w:t>esponsable du dossier politique énergétique</w:t>
            </w:r>
            <w:r w:rsidRPr="00D06EA3">
              <w:rPr>
                <w:sz w:val="20"/>
                <w:szCs w:val="20"/>
              </w:rPr>
              <w:t>)</w:t>
            </w:r>
            <w:r w:rsidR="00B84CD4" w:rsidRPr="00D06EA3">
              <w:rPr>
                <w:sz w:val="20"/>
                <w:szCs w:val="20"/>
              </w:rPr>
              <w:t>.</w:t>
            </w:r>
          </w:p>
        </w:tc>
      </w:tr>
      <w:tr w:rsidR="00114832" w14:paraId="14BC1069" w14:textId="77777777" w:rsidTr="00B84CD4">
        <w:tc>
          <w:tcPr>
            <w:tcW w:w="1408" w:type="dxa"/>
            <w:tcBorders>
              <w:top w:val="nil"/>
              <w:left w:val="single" w:sz="8" w:space="0" w:color="auto"/>
              <w:bottom w:val="single" w:sz="8" w:space="0" w:color="auto"/>
              <w:right w:val="single" w:sz="8" w:space="0" w:color="auto"/>
            </w:tcBorders>
            <w:shd w:val="clear" w:color="auto" w:fill="76923C" w:themeFill="accent3" w:themeFillShade="BF"/>
            <w:tcMar>
              <w:top w:w="0" w:type="dxa"/>
              <w:left w:w="108" w:type="dxa"/>
              <w:bottom w:w="0" w:type="dxa"/>
              <w:right w:w="108" w:type="dxa"/>
            </w:tcMar>
          </w:tcPr>
          <w:p w14:paraId="7AA6CB65" w14:textId="77777777" w:rsidR="00114832" w:rsidRPr="00636C31" w:rsidRDefault="00114832" w:rsidP="00B12CA1">
            <w:pPr>
              <w:rPr>
                <w:color w:val="FFFFFF" w:themeColor="background1"/>
                <w:sz w:val="18"/>
              </w:rPr>
            </w:pPr>
            <w:r w:rsidRPr="00636C31">
              <w:rPr>
                <w:color w:val="FFFFFF" w:themeColor="background1"/>
                <w:sz w:val="18"/>
              </w:rPr>
              <w:t>Principaux objectifs visés</w:t>
            </w:r>
          </w:p>
        </w:tc>
        <w:tc>
          <w:tcPr>
            <w:tcW w:w="779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EF5163" w14:textId="42256DF1" w:rsidR="00114832" w:rsidRPr="00D06EA3" w:rsidRDefault="00114832" w:rsidP="00B84CD4">
            <w:pPr>
              <w:pStyle w:val="Paragraphedeliste"/>
              <w:numPr>
                <w:ilvl w:val="0"/>
                <w:numId w:val="5"/>
              </w:numPr>
              <w:ind w:left="360"/>
              <w:jc w:val="both"/>
              <w:rPr>
                <w:rFonts w:ascii="Calibri" w:hAnsi="Calibri" w:cs="Calibri"/>
                <w:sz w:val="20"/>
                <w:szCs w:val="20"/>
                <w:lang w:eastAsia="en-US"/>
              </w:rPr>
            </w:pPr>
            <w:r w:rsidRPr="00D06EA3">
              <w:rPr>
                <w:rFonts w:ascii="Calibri" w:hAnsi="Calibri" w:cs="Calibri"/>
                <w:sz w:val="20"/>
                <w:szCs w:val="20"/>
                <w:lang w:eastAsia="en-US"/>
              </w:rPr>
              <w:t>Réduction à 0 des émissions nettes de gaz à effet de serre de la Suisse plus tôt que prévu, d’ici 2040 au lieu de 2050</w:t>
            </w:r>
            <w:r w:rsidR="00B84CD4" w:rsidRPr="00D06EA3">
              <w:rPr>
                <w:rFonts w:ascii="Calibri" w:hAnsi="Calibri" w:cs="Calibri"/>
                <w:sz w:val="20"/>
                <w:szCs w:val="20"/>
                <w:lang w:eastAsia="en-US"/>
              </w:rPr>
              <w:t>.</w:t>
            </w:r>
            <w:r w:rsidRPr="00D06EA3">
              <w:rPr>
                <w:rFonts w:ascii="Calibri" w:hAnsi="Calibri" w:cs="Calibri"/>
                <w:sz w:val="20"/>
                <w:szCs w:val="20"/>
                <w:lang w:eastAsia="en-US"/>
              </w:rPr>
              <w:t xml:space="preserve"> </w:t>
            </w:r>
            <w:r w:rsidR="00B84CD4" w:rsidRPr="00D06EA3">
              <w:rPr>
                <w:rFonts w:ascii="Calibri" w:hAnsi="Calibri" w:cs="Calibri"/>
                <w:sz w:val="20"/>
                <w:szCs w:val="20"/>
                <w:lang w:eastAsia="en-US"/>
              </w:rPr>
              <w:t>(</w:t>
            </w:r>
            <w:r w:rsidRPr="00D06EA3">
              <w:rPr>
                <w:rFonts w:ascii="Calibri" w:hAnsi="Calibri" w:cs="Calibri"/>
                <w:sz w:val="20"/>
                <w:szCs w:val="20"/>
                <w:lang w:eastAsia="en-US"/>
              </w:rPr>
              <w:t>Pour y parvenir, il faut fixer des objectifs intermédiaires de réd</w:t>
            </w:r>
            <w:r w:rsidR="00B84CD4" w:rsidRPr="00D06EA3">
              <w:rPr>
                <w:rFonts w:ascii="Calibri" w:hAnsi="Calibri" w:cs="Calibri"/>
                <w:sz w:val="20"/>
                <w:szCs w:val="20"/>
                <w:lang w:eastAsia="en-US"/>
              </w:rPr>
              <w:t>uction des émissions pour 2030 : a</w:t>
            </w:r>
            <w:r w:rsidRPr="00D06EA3">
              <w:rPr>
                <w:rFonts w:ascii="Calibri" w:hAnsi="Calibri" w:cs="Calibri"/>
                <w:sz w:val="20"/>
                <w:szCs w:val="20"/>
                <w:lang w:eastAsia="en-US"/>
              </w:rPr>
              <w:t>ugmentation des réductions d’émissions de gaz à effet de serre de la Suisse de 50 à 60% d’ici 2030 par rapport à 1990.</w:t>
            </w:r>
            <w:r w:rsidR="00B84CD4" w:rsidRPr="00D06EA3">
              <w:rPr>
                <w:rFonts w:ascii="Calibri" w:hAnsi="Calibri" w:cs="Calibri"/>
                <w:sz w:val="20"/>
                <w:szCs w:val="20"/>
                <w:lang w:eastAsia="en-US"/>
              </w:rPr>
              <w:t>)</w:t>
            </w:r>
            <w:r w:rsidRPr="00D06EA3">
              <w:rPr>
                <w:rFonts w:ascii="Calibri" w:hAnsi="Calibri" w:cs="Calibri"/>
                <w:sz w:val="20"/>
                <w:szCs w:val="20"/>
                <w:lang w:eastAsia="en-US"/>
              </w:rPr>
              <w:t xml:space="preserve"> </w:t>
            </w:r>
          </w:p>
          <w:p w14:paraId="0C564D3A" w14:textId="77777777" w:rsidR="00B84CD4" w:rsidRPr="00D06EA3" w:rsidRDefault="00B84CD4" w:rsidP="00B84CD4">
            <w:pPr>
              <w:jc w:val="both"/>
              <w:rPr>
                <w:sz w:val="20"/>
                <w:szCs w:val="20"/>
              </w:rPr>
            </w:pPr>
          </w:p>
          <w:p w14:paraId="267CBAFB" w14:textId="77777777" w:rsidR="00114832" w:rsidRPr="00D06EA3" w:rsidRDefault="00114832" w:rsidP="00B84CD4">
            <w:pPr>
              <w:pStyle w:val="Paragraphedeliste"/>
              <w:numPr>
                <w:ilvl w:val="0"/>
                <w:numId w:val="5"/>
              </w:numPr>
              <w:ind w:left="360"/>
              <w:jc w:val="both"/>
              <w:rPr>
                <w:rFonts w:ascii="Calibri" w:hAnsi="Calibri" w:cs="Calibri"/>
                <w:sz w:val="20"/>
                <w:szCs w:val="20"/>
                <w:lang w:eastAsia="en-US"/>
              </w:rPr>
            </w:pPr>
            <w:r w:rsidRPr="00D06EA3">
              <w:rPr>
                <w:rFonts w:ascii="Calibri" w:hAnsi="Calibri" w:cs="Calibri"/>
                <w:sz w:val="20"/>
                <w:szCs w:val="20"/>
                <w:lang w:eastAsia="en-US"/>
              </w:rPr>
              <w:t>Meilleure prise en compte par la Confédération du risque de transition écologique socialement injuste</w:t>
            </w:r>
            <w:r w:rsidR="00636C31" w:rsidRPr="00D06EA3">
              <w:rPr>
                <w:rFonts w:ascii="Calibri" w:hAnsi="Calibri" w:cs="Calibri"/>
                <w:sz w:val="20"/>
                <w:szCs w:val="20"/>
                <w:lang w:eastAsia="en-US"/>
              </w:rPr>
              <w:t>, c’est-à-dire défavorable aux faibles et moyens revenus.</w:t>
            </w:r>
          </w:p>
          <w:p w14:paraId="4B12365B" w14:textId="60B50BC3" w:rsidR="00687806" w:rsidRPr="00D06EA3" w:rsidRDefault="00687806" w:rsidP="00687806">
            <w:pPr>
              <w:jc w:val="both"/>
              <w:rPr>
                <w:sz w:val="20"/>
                <w:szCs w:val="20"/>
              </w:rPr>
            </w:pPr>
          </w:p>
        </w:tc>
      </w:tr>
      <w:tr w:rsidR="004A55CF" w14:paraId="34B703B8" w14:textId="77777777" w:rsidTr="00B84CD4">
        <w:tc>
          <w:tcPr>
            <w:tcW w:w="1408" w:type="dxa"/>
            <w:tcBorders>
              <w:top w:val="nil"/>
              <w:left w:val="single" w:sz="8" w:space="0" w:color="auto"/>
              <w:bottom w:val="single" w:sz="8" w:space="0" w:color="auto"/>
              <w:right w:val="single" w:sz="8" w:space="0" w:color="auto"/>
            </w:tcBorders>
            <w:shd w:val="clear" w:color="auto" w:fill="76923C" w:themeFill="accent3" w:themeFillShade="BF"/>
            <w:tcMar>
              <w:top w:w="0" w:type="dxa"/>
              <w:left w:w="108" w:type="dxa"/>
              <w:bottom w:w="0" w:type="dxa"/>
              <w:right w:w="108" w:type="dxa"/>
            </w:tcMar>
          </w:tcPr>
          <w:p w14:paraId="0731AE83" w14:textId="77777777" w:rsidR="004A55CF" w:rsidRPr="00636C31" w:rsidRDefault="004A55CF">
            <w:pPr>
              <w:rPr>
                <w:color w:val="FFFFFF" w:themeColor="background1"/>
                <w:sz w:val="18"/>
              </w:rPr>
            </w:pPr>
            <w:r w:rsidRPr="00636C31">
              <w:rPr>
                <w:color w:val="FFFFFF" w:themeColor="background1"/>
                <w:sz w:val="18"/>
              </w:rPr>
              <w:t>Contexte et enjeux</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A4CE7E4" w14:textId="277153DB" w:rsidR="00636C31" w:rsidRPr="00D06EA3" w:rsidRDefault="00636C31" w:rsidP="00636C31">
            <w:pPr>
              <w:jc w:val="both"/>
              <w:rPr>
                <w:sz w:val="20"/>
                <w:szCs w:val="20"/>
              </w:rPr>
            </w:pPr>
            <w:r w:rsidRPr="00D06EA3">
              <w:rPr>
                <w:sz w:val="20"/>
                <w:szCs w:val="20"/>
              </w:rPr>
              <w:t xml:space="preserve">Il s’agit d’un important document de lobbying social à destination des autorités fédérales : il émane de la deuxième plus grande organisation faîtière suisse des salarié-e-s (dix </w:t>
            </w:r>
            <w:hyperlink r:id="rId8" w:tooltip="Fédérations affiliées" w:history="1">
              <w:r w:rsidRPr="00D06EA3">
                <w:rPr>
                  <w:sz w:val="20"/>
                  <w:szCs w:val="20"/>
                </w:rPr>
                <w:t>fédérations affiliées</w:t>
              </w:r>
            </w:hyperlink>
            <w:r w:rsidRPr="00D06EA3">
              <w:rPr>
                <w:sz w:val="20"/>
                <w:szCs w:val="20"/>
              </w:rPr>
              <w:t xml:space="preserve"> représentant 150 000 membres issus d'un large</w:t>
            </w:r>
            <w:r w:rsidRPr="00D06EA3">
              <w:rPr>
                <w:bCs/>
                <w:sz w:val="20"/>
                <w:szCs w:val="20"/>
              </w:rPr>
              <w:t xml:space="preserve"> éventail </w:t>
            </w:r>
            <w:r w:rsidRPr="00D06EA3">
              <w:rPr>
                <w:sz w:val="20"/>
                <w:szCs w:val="20"/>
              </w:rPr>
              <w:t>de branches et de secteurs du secteur privé et du service public).</w:t>
            </w:r>
          </w:p>
          <w:p w14:paraId="41AACA4E" w14:textId="77777777" w:rsidR="00636C31" w:rsidRPr="00D06EA3" w:rsidRDefault="00636C31" w:rsidP="00636C31">
            <w:pPr>
              <w:jc w:val="both"/>
              <w:rPr>
                <w:sz w:val="20"/>
                <w:szCs w:val="20"/>
              </w:rPr>
            </w:pPr>
          </w:p>
          <w:p w14:paraId="0B220B74" w14:textId="389D2778" w:rsidR="005C7D2D" w:rsidRPr="00D06EA3" w:rsidRDefault="00F906EE" w:rsidP="00636C31">
            <w:pPr>
              <w:jc w:val="both"/>
              <w:rPr>
                <w:sz w:val="20"/>
                <w:szCs w:val="20"/>
              </w:rPr>
            </w:pPr>
            <w:r w:rsidRPr="00D06EA3">
              <w:rPr>
                <w:sz w:val="20"/>
                <w:szCs w:val="20"/>
              </w:rPr>
              <w:t>Pour Travail.Suisse, le caractère indispensable de la transition écologique ne fait aucun doute, mais il existe un risque important</w:t>
            </w:r>
            <w:r w:rsidR="00FB32C8" w:rsidRPr="00D06EA3">
              <w:rPr>
                <w:sz w:val="20"/>
                <w:szCs w:val="20"/>
              </w:rPr>
              <w:t xml:space="preserve"> </w:t>
            </w:r>
            <w:r w:rsidRPr="00D06EA3">
              <w:rPr>
                <w:sz w:val="20"/>
                <w:szCs w:val="20"/>
              </w:rPr>
              <w:t>que le coût économique et social de cette transiti</w:t>
            </w:r>
            <w:r w:rsidR="00B24BE7" w:rsidRPr="00D06EA3">
              <w:rPr>
                <w:sz w:val="20"/>
                <w:szCs w:val="20"/>
              </w:rPr>
              <w:t>on soit</w:t>
            </w:r>
            <w:r w:rsidR="00BA06E8" w:rsidRPr="00D06EA3">
              <w:rPr>
                <w:sz w:val="20"/>
                <w:szCs w:val="20"/>
              </w:rPr>
              <w:t xml:space="preserve"> </w:t>
            </w:r>
            <w:r w:rsidR="002E6F03" w:rsidRPr="00D06EA3">
              <w:rPr>
                <w:sz w:val="20"/>
                <w:szCs w:val="20"/>
              </w:rPr>
              <w:t>davantage</w:t>
            </w:r>
            <w:r w:rsidR="00B24BE7" w:rsidRPr="00D06EA3">
              <w:rPr>
                <w:sz w:val="20"/>
                <w:szCs w:val="20"/>
              </w:rPr>
              <w:t xml:space="preserve"> supporté par</w:t>
            </w:r>
            <w:r w:rsidRPr="00D06EA3">
              <w:rPr>
                <w:sz w:val="20"/>
                <w:szCs w:val="20"/>
              </w:rPr>
              <w:t xml:space="preserve"> </w:t>
            </w:r>
            <w:r w:rsidR="00B24BE7" w:rsidRPr="00D06EA3">
              <w:rPr>
                <w:sz w:val="20"/>
                <w:szCs w:val="20"/>
              </w:rPr>
              <w:t>certaines</w:t>
            </w:r>
            <w:r w:rsidRPr="00D06EA3">
              <w:rPr>
                <w:sz w:val="20"/>
                <w:szCs w:val="20"/>
              </w:rPr>
              <w:t xml:space="preserve"> catégories de travailleur-se-s</w:t>
            </w:r>
            <w:r w:rsidR="00B84CD4" w:rsidRPr="00D06EA3">
              <w:rPr>
                <w:sz w:val="20"/>
                <w:szCs w:val="20"/>
              </w:rPr>
              <w:t xml:space="preserve">, notamment </w:t>
            </w:r>
            <w:r w:rsidR="00FF4C81" w:rsidRPr="00D06EA3">
              <w:rPr>
                <w:sz w:val="20"/>
                <w:szCs w:val="20"/>
              </w:rPr>
              <w:t>celles</w:t>
            </w:r>
            <w:r w:rsidR="00B84CD4" w:rsidRPr="00D06EA3">
              <w:rPr>
                <w:sz w:val="20"/>
                <w:szCs w:val="20"/>
              </w:rPr>
              <w:t>/ceux</w:t>
            </w:r>
            <w:r w:rsidR="00B77528" w:rsidRPr="00D06EA3">
              <w:rPr>
                <w:sz w:val="20"/>
                <w:szCs w:val="20"/>
              </w:rPr>
              <w:t xml:space="preserve"> à moyens et bas revenus</w:t>
            </w:r>
            <w:r w:rsidR="0069725D" w:rsidRPr="00D06EA3">
              <w:rPr>
                <w:sz w:val="20"/>
                <w:szCs w:val="20"/>
              </w:rPr>
              <w:t>, alors que leur contribution à la crise climatique est plus faible que celle des catégor</w:t>
            </w:r>
            <w:r w:rsidR="00A37A5C" w:rsidRPr="00D06EA3">
              <w:rPr>
                <w:sz w:val="20"/>
                <w:szCs w:val="20"/>
              </w:rPr>
              <w:t>ies plus aisées</w:t>
            </w:r>
            <w:r w:rsidR="00782BCB" w:rsidRPr="00D06EA3">
              <w:rPr>
                <w:sz w:val="20"/>
                <w:szCs w:val="20"/>
              </w:rPr>
              <w:t xml:space="preserve">. </w:t>
            </w:r>
            <w:r w:rsidR="002E6F03" w:rsidRPr="00D06EA3">
              <w:rPr>
                <w:sz w:val="20"/>
                <w:szCs w:val="20"/>
              </w:rPr>
              <w:t>Aussi,</w:t>
            </w:r>
            <w:r w:rsidR="0069725D" w:rsidRPr="00D06EA3">
              <w:rPr>
                <w:sz w:val="20"/>
                <w:szCs w:val="20"/>
              </w:rPr>
              <w:t xml:space="preserve"> à côté de l’enjeu écologique, le deuxième </w:t>
            </w:r>
            <w:r w:rsidR="002E6F03" w:rsidRPr="00D06EA3">
              <w:rPr>
                <w:sz w:val="20"/>
                <w:szCs w:val="20"/>
              </w:rPr>
              <w:t>enjeu principal présenté dans le document est la meilleure prise en co</w:t>
            </w:r>
            <w:r w:rsidR="0069725D" w:rsidRPr="00D06EA3">
              <w:rPr>
                <w:sz w:val="20"/>
                <w:szCs w:val="20"/>
              </w:rPr>
              <w:t xml:space="preserve">mpte par la Confédération du </w:t>
            </w:r>
            <w:r w:rsidR="002E6F03" w:rsidRPr="00D06EA3">
              <w:rPr>
                <w:sz w:val="20"/>
                <w:szCs w:val="20"/>
              </w:rPr>
              <w:t>risque de transition écologique injuste</w:t>
            </w:r>
            <w:r w:rsidR="005C7D2D" w:rsidRPr="00D06EA3">
              <w:rPr>
                <w:sz w:val="20"/>
                <w:szCs w:val="20"/>
              </w:rPr>
              <w:t>.</w:t>
            </w:r>
          </w:p>
          <w:p w14:paraId="1ABD7FB8" w14:textId="77777777" w:rsidR="005C7D2D" w:rsidRPr="00D06EA3" w:rsidRDefault="005C7D2D" w:rsidP="00636C31">
            <w:pPr>
              <w:jc w:val="both"/>
              <w:rPr>
                <w:sz w:val="20"/>
                <w:szCs w:val="20"/>
              </w:rPr>
            </w:pPr>
          </w:p>
          <w:p w14:paraId="0DE50B57" w14:textId="695F4C05" w:rsidR="004D353B" w:rsidRPr="00D06EA3" w:rsidRDefault="005C7D2D" w:rsidP="00636C31">
            <w:pPr>
              <w:jc w:val="both"/>
              <w:rPr>
                <w:sz w:val="20"/>
                <w:szCs w:val="20"/>
              </w:rPr>
            </w:pPr>
            <w:r w:rsidRPr="00D06EA3">
              <w:rPr>
                <w:sz w:val="20"/>
                <w:szCs w:val="20"/>
              </w:rPr>
              <w:t>De toute manière,</w:t>
            </w:r>
            <w:r w:rsidR="00A37A5C" w:rsidRPr="00D06EA3">
              <w:rPr>
                <w:sz w:val="20"/>
                <w:szCs w:val="20"/>
              </w:rPr>
              <w:t xml:space="preserve"> pour l’organisation,</w:t>
            </w:r>
            <w:r w:rsidRPr="00D06EA3">
              <w:rPr>
                <w:sz w:val="20"/>
                <w:szCs w:val="20"/>
              </w:rPr>
              <w:t xml:space="preserve"> u</w:t>
            </w:r>
            <w:r w:rsidR="002E6F03" w:rsidRPr="00D06EA3">
              <w:rPr>
                <w:sz w:val="20"/>
                <w:szCs w:val="20"/>
              </w:rPr>
              <w:t xml:space="preserve">ne transition écologique socialement </w:t>
            </w:r>
            <w:r w:rsidR="00636C31" w:rsidRPr="00D06EA3">
              <w:rPr>
                <w:sz w:val="20"/>
                <w:szCs w:val="20"/>
              </w:rPr>
              <w:t xml:space="preserve">injuste </w:t>
            </w:r>
            <w:r w:rsidRPr="00D06EA3">
              <w:rPr>
                <w:sz w:val="20"/>
                <w:szCs w:val="20"/>
              </w:rPr>
              <w:t xml:space="preserve">ne </w:t>
            </w:r>
            <w:r w:rsidR="00A37A5C" w:rsidRPr="00D06EA3">
              <w:rPr>
                <w:sz w:val="20"/>
                <w:szCs w:val="20"/>
              </w:rPr>
              <w:t>pourrait</w:t>
            </w:r>
            <w:r w:rsidRPr="00D06EA3">
              <w:rPr>
                <w:sz w:val="20"/>
                <w:szCs w:val="20"/>
              </w:rPr>
              <w:t xml:space="preserve"> réussir, car </w:t>
            </w:r>
            <w:r w:rsidR="0069725D" w:rsidRPr="00D06EA3">
              <w:rPr>
                <w:sz w:val="20"/>
                <w:szCs w:val="20"/>
              </w:rPr>
              <w:t>celle-ci</w:t>
            </w:r>
            <w:r w:rsidRPr="00D06EA3">
              <w:rPr>
                <w:sz w:val="20"/>
                <w:szCs w:val="20"/>
              </w:rPr>
              <w:t xml:space="preserve"> </w:t>
            </w:r>
            <w:r w:rsidR="00782BCB" w:rsidRPr="00D06EA3">
              <w:rPr>
                <w:sz w:val="20"/>
                <w:szCs w:val="20"/>
              </w:rPr>
              <w:t>nécessite</w:t>
            </w:r>
            <w:r w:rsidR="0069725D" w:rsidRPr="00D06EA3">
              <w:rPr>
                <w:sz w:val="20"/>
                <w:szCs w:val="20"/>
              </w:rPr>
              <w:t xml:space="preserve"> l’adhésion de </w:t>
            </w:r>
            <w:proofErr w:type="spellStart"/>
            <w:r w:rsidR="0069725D" w:rsidRPr="00D06EA3">
              <w:rPr>
                <w:sz w:val="20"/>
                <w:szCs w:val="20"/>
              </w:rPr>
              <w:t>tou</w:t>
            </w:r>
            <w:proofErr w:type="spellEnd"/>
            <w:r w:rsidR="0069725D" w:rsidRPr="00D06EA3">
              <w:rPr>
                <w:sz w:val="20"/>
                <w:szCs w:val="20"/>
              </w:rPr>
              <w:t>-</w:t>
            </w:r>
            <w:proofErr w:type="spellStart"/>
            <w:r w:rsidR="0069725D" w:rsidRPr="00D06EA3">
              <w:rPr>
                <w:sz w:val="20"/>
                <w:szCs w:val="20"/>
              </w:rPr>
              <w:t>te-s</w:t>
            </w:r>
            <w:proofErr w:type="spellEnd"/>
            <w:r w:rsidR="0069725D" w:rsidRPr="00D06EA3">
              <w:rPr>
                <w:sz w:val="20"/>
                <w:szCs w:val="20"/>
              </w:rPr>
              <w:t>.</w:t>
            </w:r>
            <w:r w:rsidR="002D1C1C" w:rsidRPr="00D06EA3">
              <w:rPr>
                <w:sz w:val="20"/>
                <w:szCs w:val="20"/>
              </w:rPr>
              <w:t xml:space="preserve"> </w:t>
            </w:r>
            <w:r w:rsidR="0069725D" w:rsidRPr="00D06EA3">
              <w:rPr>
                <w:sz w:val="20"/>
                <w:szCs w:val="20"/>
              </w:rPr>
              <w:t xml:space="preserve">C’est ce qu’indique clairement l’extrait suivant : </w:t>
            </w:r>
            <w:r w:rsidR="002D1C1C" w:rsidRPr="00D06EA3">
              <w:rPr>
                <w:sz w:val="20"/>
                <w:szCs w:val="20"/>
              </w:rPr>
              <w:t>« </w:t>
            </w:r>
            <w:r w:rsidR="0069725D" w:rsidRPr="00D06EA3">
              <w:rPr>
                <w:i/>
                <w:sz w:val="20"/>
                <w:szCs w:val="20"/>
              </w:rPr>
              <w:t>[i</w:t>
            </w:r>
            <w:r w:rsidR="004D353B" w:rsidRPr="00D06EA3">
              <w:rPr>
                <w:i/>
                <w:sz w:val="20"/>
                <w:szCs w:val="20"/>
              </w:rPr>
              <w:t>l</w:t>
            </w:r>
            <w:r w:rsidR="0069725D" w:rsidRPr="00D06EA3">
              <w:rPr>
                <w:i/>
                <w:sz w:val="20"/>
                <w:szCs w:val="20"/>
              </w:rPr>
              <w:t>]</w:t>
            </w:r>
            <w:r w:rsidR="004D353B" w:rsidRPr="00D06EA3">
              <w:rPr>
                <w:i/>
                <w:sz w:val="20"/>
                <w:szCs w:val="20"/>
              </w:rPr>
              <w:t xml:space="preserve"> faut non seulement un Green Deal mais aussi un Social Deal. C’est la meilleure manière de convaincre la population pour réduire les émissions de C02 à zéro avant le milieu de ce siècle.</w:t>
            </w:r>
            <w:r w:rsidR="002D1C1C" w:rsidRPr="00D06EA3">
              <w:rPr>
                <w:sz w:val="20"/>
                <w:szCs w:val="20"/>
              </w:rPr>
              <w:t> »</w:t>
            </w:r>
          </w:p>
          <w:p w14:paraId="4EF3444A" w14:textId="04DDDBBE" w:rsidR="00782BCB" w:rsidRPr="00D06EA3" w:rsidRDefault="00782BCB" w:rsidP="00636C31">
            <w:pPr>
              <w:jc w:val="both"/>
              <w:rPr>
                <w:sz w:val="20"/>
                <w:szCs w:val="20"/>
              </w:rPr>
            </w:pPr>
          </w:p>
          <w:p w14:paraId="4E1388CB" w14:textId="07AB75F6" w:rsidR="00782BCB" w:rsidRPr="00D06EA3" w:rsidRDefault="00782BCB" w:rsidP="00636C31">
            <w:pPr>
              <w:jc w:val="both"/>
              <w:rPr>
                <w:sz w:val="20"/>
                <w:szCs w:val="20"/>
              </w:rPr>
            </w:pPr>
            <w:r w:rsidRPr="00D06EA3">
              <w:rPr>
                <w:sz w:val="20"/>
                <w:szCs w:val="20"/>
              </w:rPr>
              <w:t xml:space="preserve">Toutefois, </w:t>
            </w:r>
            <w:r w:rsidR="00476F05" w:rsidRPr="00D06EA3">
              <w:rPr>
                <w:sz w:val="20"/>
                <w:szCs w:val="20"/>
              </w:rPr>
              <w:t>la transition écologique n’est pas présentée</w:t>
            </w:r>
            <w:r w:rsidR="00A37A5C" w:rsidRPr="00D06EA3">
              <w:rPr>
                <w:sz w:val="20"/>
                <w:szCs w:val="20"/>
              </w:rPr>
              <w:t xml:space="preserve"> ici uniquement comme une menace </w:t>
            </w:r>
            <w:r w:rsidR="00476F05" w:rsidRPr="00D06EA3">
              <w:rPr>
                <w:sz w:val="20"/>
                <w:szCs w:val="20"/>
              </w:rPr>
              <w:t>pour les faibles et moyens r</w:t>
            </w:r>
            <w:r w:rsidR="00A37A5C" w:rsidRPr="00D06EA3">
              <w:rPr>
                <w:sz w:val="20"/>
                <w:szCs w:val="20"/>
              </w:rPr>
              <w:t xml:space="preserve">evenus. Le document met également en évidence les importantes opportunités que </w:t>
            </w:r>
            <w:r w:rsidR="0069725D" w:rsidRPr="00D06EA3">
              <w:rPr>
                <w:sz w:val="20"/>
                <w:szCs w:val="20"/>
              </w:rPr>
              <w:t>recèle</w:t>
            </w:r>
            <w:r w:rsidR="00A37A5C" w:rsidRPr="00D06EA3">
              <w:rPr>
                <w:sz w:val="20"/>
                <w:szCs w:val="20"/>
              </w:rPr>
              <w:t xml:space="preserve"> celle transition</w:t>
            </w:r>
            <w:r w:rsidR="00476F05" w:rsidRPr="00D06EA3">
              <w:rPr>
                <w:sz w:val="20"/>
                <w:szCs w:val="20"/>
              </w:rPr>
              <w:t xml:space="preserve"> </w:t>
            </w:r>
            <w:r w:rsidR="00A37A5C" w:rsidRPr="00D06EA3">
              <w:rPr>
                <w:sz w:val="20"/>
                <w:szCs w:val="20"/>
              </w:rPr>
              <w:t>pour améliorer leur</w:t>
            </w:r>
            <w:r w:rsidR="00476F05" w:rsidRPr="00D06EA3">
              <w:rPr>
                <w:sz w:val="20"/>
                <w:szCs w:val="20"/>
              </w:rPr>
              <w:t xml:space="preserve"> si</w:t>
            </w:r>
            <w:r w:rsidR="00A37A5C" w:rsidRPr="00D06EA3">
              <w:rPr>
                <w:sz w:val="20"/>
                <w:szCs w:val="20"/>
              </w:rPr>
              <w:t>tuation.</w:t>
            </w:r>
          </w:p>
          <w:p w14:paraId="5EE8BC40" w14:textId="4099C6C3" w:rsidR="00782BCB" w:rsidRPr="00D06EA3" w:rsidRDefault="00782BCB" w:rsidP="00636C31">
            <w:pPr>
              <w:jc w:val="both"/>
              <w:rPr>
                <w:sz w:val="20"/>
                <w:szCs w:val="20"/>
              </w:rPr>
            </w:pPr>
          </w:p>
          <w:p w14:paraId="666B0AA4" w14:textId="18525060" w:rsidR="00476F05" w:rsidRPr="00D06EA3" w:rsidRDefault="00476F05" w:rsidP="00636C31">
            <w:pPr>
              <w:jc w:val="both"/>
              <w:rPr>
                <w:sz w:val="20"/>
                <w:szCs w:val="20"/>
              </w:rPr>
            </w:pPr>
            <w:r w:rsidRPr="00D06EA3">
              <w:rPr>
                <w:sz w:val="20"/>
                <w:szCs w:val="20"/>
              </w:rPr>
              <w:t>Voici un résumé des risques et des opportunités</w:t>
            </w:r>
            <w:r w:rsidR="0024698B" w:rsidRPr="00D06EA3">
              <w:rPr>
                <w:sz w:val="20"/>
                <w:szCs w:val="20"/>
              </w:rPr>
              <w:t xml:space="preserve"> de la transition écologique</w:t>
            </w:r>
            <w:r w:rsidRPr="00D06EA3">
              <w:rPr>
                <w:sz w:val="20"/>
                <w:szCs w:val="20"/>
              </w:rPr>
              <w:t xml:space="preserve"> pour les faibles et moyens revenus</w:t>
            </w:r>
            <w:r w:rsidR="0024698B" w:rsidRPr="00D06EA3">
              <w:rPr>
                <w:sz w:val="20"/>
                <w:szCs w:val="20"/>
              </w:rPr>
              <w:t> :</w:t>
            </w:r>
          </w:p>
          <w:p w14:paraId="0DAF9693" w14:textId="38C1300B" w:rsidR="0024698B" w:rsidRPr="00D06EA3" w:rsidRDefault="0024698B" w:rsidP="00636C31">
            <w:pPr>
              <w:jc w:val="both"/>
              <w:rPr>
                <w:sz w:val="20"/>
                <w:szCs w:val="20"/>
              </w:rPr>
            </w:pPr>
          </w:p>
          <w:p w14:paraId="665CED10" w14:textId="73200E7F" w:rsidR="0024698B" w:rsidRPr="00D06EA3" w:rsidRDefault="0024698B" w:rsidP="00636C31">
            <w:pPr>
              <w:jc w:val="both"/>
              <w:rPr>
                <w:b/>
                <w:sz w:val="20"/>
                <w:szCs w:val="20"/>
              </w:rPr>
            </w:pPr>
            <w:r w:rsidRPr="00D06EA3">
              <w:rPr>
                <w:b/>
                <w:sz w:val="20"/>
                <w:szCs w:val="20"/>
              </w:rPr>
              <w:t>Risques</w:t>
            </w:r>
          </w:p>
          <w:p w14:paraId="1D157C87" w14:textId="1C7325CD" w:rsidR="00465385" w:rsidRPr="00D06EA3" w:rsidRDefault="00465385" w:rsidP="00465385">
            <w:pPr>
              <w:jc w:val="both"/>
              <w:rPr>
                <w:sz w:val="20"/>
                <w:szCs w:val="20"/>
              </w:rPr>
            </w:pPr>
            <w:r w:rsidRPr="00D06EA3">
              <w:rPr>
                <w:sz w:val="20"/>
                <w:szCs w:val="20"/>
              </w:rPr>
              <w:t>Une augmentation du coût de la vie difficilement supportable pourrait être occasionnée par le passage à une consommation alimentaire et énergétique plus durable. Les produits locaux et bio sont plus sains, mais difficilement accessibles pour une bonne partie de la population. De même, la capacité d’un ménage à réduire ses émissions de C02 dépend de son capital économique : ce sont les ménages aisés qui ont les moyens de diminuer ces émissions – et, par la même occasion, leur facture énergétique – par des travaux s’assainissements de leur logement – dont ils sont souvent propriétaire – et l’achat une voiture électrique.</w:t>
            </w:r>
          </w:p>
          <w:p w14:paraId="087DD7B5" w14:textId="2FEF6B9D" w:rsidR="00B76218" w:rsidRPr="00D06EA3" w:rsidRDefault="00B76218" w:rsidP="00465385">
            <w:pPr>
              <w:jc w:val="both"/>
              <w:rPr>
                <w:sz w:val="20"/>
                <w:szCs w:val="20"/>
              </w:rPr>
            </w:pPr>
          </w:p>
          <w:p w14:paraId="0F003B9B" w14:textId="2C33E5D7" w:rsidR="00B76218" w:rsidRPr="00D06EA3" w:rsidRDefault="00B76218" w:rsidP="00B76218">
            <w:pPr>
              <w:rPr>
                <w:sz w:val="20"/>
                <w:szCs w:val="20"/>
              </w:rPr>
            </w:pPr>
            <w:r w:rsidRPr="00D06EA3">
              <w:rPr>
                <w:sz w:val="20"/>
                <w:szCs w:val="20"/>
              </w:rPr>
              <w:t xml:space="preserve">En matière d’emploi, Travail.Suisse met en garde contre les discours trop optimistes sur les opportunités d’innovation dont pourraient bénéficier les entreprises suisses dans le contexte de la transition écologique, optimisme qui tendrait à négliger les importants impacts négatifs de cette transition pour plusieurs secteurs d’activité, tels que la production d’énergies </w:t>
            </w:r>
            <w:r w:rsidRPr="00D06EA3">
              <w:rPr>
                <w:sz w:val="20"/>
                <w:szCs w:val="20"/>
              </w:rPr>
              <w:lastRenderedPageBreak/>
              <w:t>fossiles, les industries grosses consommatrices d’énergie, les transports routiers et, surtout, l’automobile. En effet, selon l’organisation, c’est peut-être ce dernier secteur « qui illustre le mieux l’ampleur du changement structurel : la fin programmée des moteurs à combustion au profit des moteurs électriques exerce déjà une forte pression pour les sous-traitants de ce secteur en Suisse. (…) Pour les sous-traitants suisses, la reconversion vers les voitures électriques ferait perdre jusqu’à 10'200 des 34'000 emplois du secteur dans notre pays et en créerait 3400 nouveaux. Il en résulte une perte de 6800 emplois. » Par ailleurs, l’organisation met en évidence les pertes d’emploi qui pourraient être occasionnées par des « fuites de carbone », c’est-à-dire, des délocalisations depuis des pays qui ont une politique climatique ambitieuse – notamment en matière de taxe. Enfin, last but not lea</w:t>
            </w:r>
            <w:r w:rsidR="00AE0161" w:rsidRPr="00D06EA3">
              <w:rPr>
                <w:sz w:val="20"/>
                <w:szCs w:val="20"/>
              </w:rPr>
              <w:t>st, Travail.Suisse considère qu’on sous-estime encore trope</w:t>
            </w:r>
            <w:r w:rsidRPr="00D06EA3">
              <w:rPr>
                <w:sz w:val="20"/>
                <w:szCs w:val="20"/>
              </w:rPr>
              <w:t xml:space="preserve"> l’énorme besoin de formation de la main-d’œuvre </w:t>
            </w:r>
            <w:r w:rsidR="00AE0161" w:rsidRPr="00D06EA3">
              <w:rPr>
                <w:sz w:val="20"/>
                <w:szCs w:val="20"/>
              </w:rPr>
              <w:t xml:space="preserve">que la transition écologique va </w:t>
            </w:r>
            <w:r w:rsidR="00E8780C" w:rsidRPr="00D06EA3">
              <w:rPr>
                <w:sz w:val="20"/>
                <w:szCs w:val="20"/>
              </w:rPr>
              <w:t>provoquer.</w:t>
            </w:r>
          </w:p>
          <w:p w14:paraId="2FD91640" w14:textId="77777777" w:rsidR="00141B88" w:rsidRPr="00D06EA3" w:rsidRDefault="00141B88" w:rsidP="00636C31">
            <w:pPr>
              <w:jc w:val="both"/>
              <w:rPr>
                <w:sz w:val="20"/>
                <w:szCs w:val="20"/>
              </w:rPr>
            </w:pPr>
          </w:p>
          <w:p w14:paraId="674BF79E" w14:textId="245A85C0" w:rsidR="0024698B" w:rsidRPr="00D06EA3" w:rsidRDefault="00141B88" w:rsidP="00636C31">
            <w:pPr>
              <w:jc w:val="both"/>
              <w:rPr>
                <w:b/>
                <w:sz w:val="20"/>
                <w:szCs w:val="20"/>
              </w:rPr>
            </w:pPr>
            <w:r w:rsidRPr="00D06EA3">
              <w:rPr>
                <w:b/>
                <w:sz w:val="20"/>
                <w:szCs w:val="20"/>
              </w:rPr>
              <w:t>Opportunités</w:t>
            </w:r>
          </w:p>
          <w:p w14:paraId="21E26D30" w14:textId="6CF7E517" w:rsidR="00B06242" w:rsidRPr="00D06EA3" w:rsidRDefault="00B06242" w:rsidP="00B06242">
            <w:pPr>
              <w:jc w:val="both"/>
              <w:rPr>
                <w:sz w:val="20"/>
                <w:szCs w:val="20"/>
              </w:rPr>
            </w:pPr>
            <w:r w:rsidRPr="00D06EA3">
              <w:rPr>
                <w:sz w:val="20"/>
                <w:szCs w:val="20"/>
              </w:rPr>
              <w:t xml:space="preserve">La transition écologique est aussi présentée par Travail.Suisse comme favorable à l’emploi dans sa globalité. Tout d’abord parce qu’elle ne pourrait qu’avoir un effet positif sur le nombre total de places de travail – existantes et futures. En effet, en l’absence totale de mesures économiques d’adaptation, 410'000 emplois seraient potentiellement perdus dans l’UE d’ici 2050, ceci en raison des effets d’entraînement négatifs du changement climatique sur l’ensemble de l’économie. À l’inverse, il est estimé que la prise de mesures d’adaptation pourrait créer au moins 500'000 nouveaux emplois d’ici 2050. Certains secteurs pourraient davantage profiter de ces créations d’emploi, tels que ceux de la construction (mise aux normes environnementales des bâtiments) ou de l’industrie des </w:t>
            </w:r>
            <w:proofErr w:type="spellStart"/>
            <w:r w:rsidRPr="00D06EA3">
              <w:rPr>
                <w:sz w:val="20"/>
                <w:szCs w:val="20"/>
              </w:rPr>
              <w:t>cleantech</w:t>
            </w:r>
            <w:proofErr w:type="spellEnd"/>
            <w:r w:rsidRPr="00D06EA3">
              <w:rPr>
                <w:sz w:val="20"/>
                <w:szCs w:val="20"/>
              </w:rPr>
              <w:t xml:space="preserve">. Une étude estime que les investissements qui devront être faits dans le solaire pour réaliser la stratégie énergétique 2050 créeront en Suisse 14'000 emplois d’ici 2030. À cela s’ajoute le grand potentiel de création d’emploi de l’économie circulaire, économie dont les principes sont compatibles avec les limites planétaires. Comme l’écrit l’organisation syndicale, « l’application des principes de l’économie circulaire dans l’ensemble de l’économie de l’UE pourrait accroître son PIB de 0,5% d’ici à 2030 en créant quelque 700'000 nouveaux emplois. » Mais, comme le précise le nouveau plan d’action de l’UE sur l’économie circulaire, pareils effets positifs ne pourront se produire que si « (…) les travailleurs acquièrent les compétences requises pour la transition écologique ». Nous retrouvons donc ici la centralité de la formation pour la transition écologique. </w:t>
            </w:r>
          </w:p>
          <w:p w14:paraId="7D1C8309" w14:textId="5DF67B88" w:rsidR="00B06242" w:rsidRPr="00D06EA3" w:rsidRDefault="00B06242" w:rsidP="00B06242">
            <w:pPr>
              <w:jc w:val="both"/>
              <w:rPr>
                <w:sz w:val="20"/>
                <w:szCs w:val="20"/>
              </w:rPr>
            </w:pPr>
          </w:p>
          <w:p w14:paraId="2497CB1E" w14:textId="10AE6B54" w:rsidR="00B77528" w:rsidRPr="00D06EA3" w:rsidRDefault="00B06242" w:rsidP="00636C31">
            <w:pPr>
              <w:jc w:val="both"/>
              <w:rPr>
                <w:sz w:val="20"/>
                <w:szCs w:val="20"/>
              </w:rPr>
            </w:pPr>
            <w:r w:rsidRPr="00D06EA3">
              <w:rPr>
                <w:sz w:val="20"/>
                <w:szCs w:val="20"/>
              </w:rPr>
              <w:t>Indiquons également que le thème de la santé</w:t>
            </w:r>
            <w:r w:rsidR="001E79FC" w:rsidRPr="00D06EA3">
              <w:rPr>
                <w:sz w:val="20"/>
                <w:szCs w:val="20"/>
              </w:rPr>
              <w:t xml:space="preserve"> des travailleurs-euses</w:t>
            </w:r>
            <w:r w:rsidRPr="00D06EA3">
              <w:rPr>
                <w:sz w:val="20"/>
                <w:szCs w:val="20"/>
              </w:rPr>
              <w:t xml:space="preserve"> est largement traité dans le document</w:t>
            </w:r>
            <w:r w:rsidR="001E79FC" w:rsidRPr="00D06EA3">
              <w:rPr>
                <w:sz w:val="20"/>
                <w:szCs w:val="20"/>
              </w:rPr>
              <w:t>. Travail.Suisse insiste sur le fait que la santé des faibles et moyens revenus est particulièrement exposée aux effets du réchauffement climatique (par exemple, dans le cas des personnes réalisant un travail physique à l’extérieur). Aussi, on peut dire que la prise de mesures d’adaptation constitue une opportunité pour protéger, à moyen et long terme, la santé de ces personnes.</w:t>
            </w:r>
          </w:p>
          <w:p w14:paraId="257FD910" w14:textId="25CF2115" w:rsidR="0018329D" w:rsidRPr="00D06EA3" w:rsidRDefault="0018329D" w:rsidP="00636C31">
            <w:pPr>
              <w:autoSpaceDE w:val="0"/>
              <w:autoSpaceDN w:val="0"/>
              <w:adjustRightInd w:val="0"/>
              <w:jc w:val="both"/>
              <w:rPr>
                <w:rFonts w:ascii="Arial" w:hAnsi="Arial" w:cs="Arial"/>
                <w:sz w:val="20"/>
                <w:szCs w:val="20"/>
              </w:rPr>
            </w:pPr>
            <w:r w:rsidRPr="00D06EA3">
              <w:rPr>
                <w:rFonts w:ascii="Arial" w:hAnsi="Arial" w:cs="Arial"/>
                <w:sz w:val="20"/>
                <w:szCs w:val="20"/>
              </w:rPr>
              <w:t xml:space="preserve"> </w:t>
            </w:r>
          </w:p>
        </w:tc>
      </w:tr>
      <w:tr w:rsidR="00961657" w14:paraId="788CCACC" w14:textId="77777777" w:rsidTr="00B84CD4">
        <w:tc>
          <w:tcPr>
            <w:tcW w:w="1408" w:type="dxa"/>
            <w:tcBorders>
              <w:top w:val="nil"/>
              <w:left w:val="single" w:sz="8" w:space="0" w:color="auto"/>
              <w:bottom w:val="single" w:sz="8" w:space="0" w:color="auto"/>
              <w:right w:val="single" w:sz="8" w:space="0" w:color="auto"/>
            </w:tcBorders>
            <w:shd w:val="clear" w:color="auto" w:fill="76923C" w:themeFill="accent3" w:themeFillShade="BF"/>
            <w:tcMar>
              <w:top w:w="0" w:type="dxa"/>
              <w:left w:w="108" w:type="dxa"/>
              <w:bottom w:w="0" w:type="dxa"/>
              <w:right w:w="108" w:type="dxa"/>
            </w:tcMar>
            <w:hideMark/>
          </w:tcPr>
          <w:p w14:paraId="512ECB80" w14:textId="77777777" w:rsidR="00961657" w:rsidRPr="00636C31" w:rsidRDefault="004A55CF" w:rsidP="00164E77">
            <w:pPr>
              <w:rPr>
                <w:color w:val="FFFFFF" w:themeColor="background1"/>
                <w:sz w:val="18"/>
              </w:rPr>
            </w:pPr>
            <w:r w:rsidRPr="00636C31">
              <w:rPr>
                <w:color w:val="FFFFFF" w:themeColor="background1"/>
                <w:sz w:val="18"/>
              </w:rPr>
              <w:lastRenderedPageBreak/>
              <w:t>Actions envisagées</w:t>
            </w:r>
            <w:r w:rsidR="00164E77" w:rsidRPr="00636C31">
              <w:rPr>
                <w:color w:val="FFFFFF" w:themeColor="background1"/>
                <w:sz w:val="18"/>
              </w:rPr>
              <w:t xml:space="preserve"> </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52277A7" w14:textId="77777777" w:rsidR="002573AB" w:rsidRPr="00D06EA3" w:rsidRDefault="001E79FC" w:rsidP="00636C31">
            <w:pPr>
              <w:jc w:val="both"/>
              <w:rPr>
                <w:b/>
                <w:sz w:val="20"/>
                <w:szCs w:val="20"/>
              </w:rPr>
            </w:pPr>
            <w:r w:rsidRPr="00D06EA3">
              <w:rPr>
                <w:b/>
                <w:sz w:val="20"/>
                <w:szCs w:val="20"/>
              </w:rPr>
              <w:t>Aspects purement écologiques</w:t>
            </w:r>
          </w:p>
          <w:p w14:paraId="298A0EE7" w14:textId="47C45E29" w:rsidR="00990290" w:rsidRPr="00D06EA3" w:rsidRDefault="00990290" w:rsidP="00990290">
            <w:pPr>
              <w:rPr>
                <w:i/>
                <w:sz w:val="20"/>
                <w:szCs w:val="20"/>
              </w:rPr>
            </w:pPr>
            <w:r w:rsidRPr="00D06EA3">
              <w:rPr>
                <w:i/>
                <w:sz w:val="20"/>
                <w:szCs w:val="20"/>
              </w:rPr>
              <w:t>Taxer les émissions </w:t>
            </w:r>
          </w:p>
          <w:p w14:paraId="6611B4F3" w14:textId="66FA4085" w:rsidR="00990290" w:rsidRPr="00D06EA3" w:rsidRDefault="00990290" w:rsidP="00990290">
            <w:pPr>
              <w:jc w:val="both"/>
              <w:rPr>
                <w:sz w:val="20"/>
                <w:szCs w:val="20"/>
              </w:rPr>
            </w:pPr>
            <w:r w:rsidRPr="00D06EA3">
              <w:rPr>
                <w:sz w:val="20"/>
                <w:szCs w:val="20"/>
              </w:rPr>
              <w:t xml:space="preserve">« (…) les prix des sources d'énergie non renouvelables doivent être augmentés pour atteindre les objectifs définis. » </w:t>
            </w:r>
          </w:p>
          <w:p w14:paraId="045CC5AF" w14:textId="77777777" w:rsidR="001E79FC" w:rsidRPr="00D06EA3" w:rsidRDefault="001E79FC" w:rsidP="00636C31">
            <w:pPr>
              <w:jc w:val="both"/>
              <w:rPr>
                <w:sz w:val="20"/>
                <w:szCs w:val="20"/>
              </w:rPr>
            </w:pPr>
          </w:p>
          <w:p w14:paraId="262CCC51" w14:textId="54AA2A79" w:rsidR="00990290" w:rsidRPr="00D06EA3" w:rsidRDefault="00990290" w:rsidP="00636C31">
            <w:pPr>
              <w:jc w:val="both"/>
              <w:rPr>
                <w:i/>
                <w:sz w:val="20"/>
                <w:szCs w:val="20"/>
              </w:rPr>
            </w:pPr>
            <w:r w:rsidRPr="00D06EA3">
              <w:rPr>
                <w:i/>
                <w:sz w:val="20"/>
                <w:szCs w:val="20"/>
              </w:rPr>
              <w:t xml:space="preserve">Cadrer le secteur de la finance  </w:t>
            </w:r>
          </w:p>
          <w:p w14:paraId="14684205" w14:textId="040A9CC4" w:rsidR="00990290" w:rsidRPr="00D06EA3" w:rsidRDefault="00990290" w:rsidP="00636C31">
            <w:pPr>
              <w:jc w:val="both"/>
              <w:rPr>
                <w:sz w:val="20"/>
                <w:szCs w:val="20"/>
              </w:rPr>
            </w:pPr>
            <w:r w:rsidRPr="00D06EA3">
              <w:rPr>
                <w:sz w:val="20"/>
                <w:szCs w:val="20"/>
              </w:rPr>
              <w:t>« Travail.Suisse, partant du constat que l’autorégulation ne suffit pas, demande des bases légales pour obliger les institutions financières suisses à divulguer les émissions de gaz à effet de serre qu’elles financent et à les réduire progressivement. »</w:t>
            </w:r>
          </w:p>
          <w:p w14:paraId="575231C7" w14:textId="73658108" w:rsidR="00990290" w:rsidRPr="00D06EA3" w:rsidRDefault="00990290" w:rsidP="00636C31">
            <w:pPr>
              <w:jc w:val="both"/>
              <w:rPr>
                <w:sz w:val="20"/>
                <w:szCs w:val="20"/>
              </w:rPr>
            </w:pPr>
          </w:p>
          <w:p w14:paraId="5CD806DF" w14:textId="3BF42EA0" w:rsidR="00990290" w:rsidRPr="00D06EA3" w:rsidRDefault="00990290" w:rsidP="00990290">
            <w:pPr>
              <w:pStyle w:val="Titre2"/>
              <w:jc w:val="both"/>
              <w:rPr>
                <w:rFonts w:ascii="Calibri" w:eastAsiaTheme="minorHAnsi" w:hAnsi="Calibri" w:cs="Calibri"/>
                <w:i/>
                <w:color w:val="auto"/>
                <w:sz w:val="20"/>
                <w:szCs w:val="20"/>
              </w:rPr>
            </w:pPr>
            <w:r w:rsidRPr="00D06EA3">
              <w:rPr>
                <w:rFonts w:ascii="Calibri" w:eastAsiaTheme="minorHAnsi" w:hAnsi="Calibri" w:cs="Calibri"/>
                <w:i/>
                <w:color w:val="auto"/>
                <w:sz w:val="20"/>
                <w:szCs w:val="20"/>
              </w:rPr>
              <w:lastRenderedPageBreak/>
              <w:t>Investir et légiférer pour changer les infrastructures </w:t>
            </w:r>
          </w:p>
          <w:p w14:paraId="4093E463" w14:textId="1E49C837" w:rsidR="00990290" w:rsidRPr="00D06EA3" w:rsidRDefault="00990290" w:rsidP="00990290">
            <w:pPr>
              <w:pStyle w:val="Titre2"/>
              <w:jc w:val="both"/>
              <w:rPr>
                <w:rFonts w:ascii="Calibri" w:eastAsiaTheme="minorHAnsi" w:hAnsi="Calibri" w:cs="Calibri"/>
                <w:color w:val="auto"/>
                <w:sz w:val="20"/>
                <w:szCs w:val="20"/>
              </w:rPr>
            </w:pPr>
            <w:r w:rsidRPr="00D06EA3">
              <w:rPr>
                <w:rFonts w:ascii="Calibri" w:eastAsiaTheme="minorHAnsi" w:hAnsi="Calibri" w:cs="Calibri"/>
                <w:color w:val="auto"/>
                <w:sz w:val="20"/>
                <w:szCs w:val="20"/>
              </w:rPr>
              <w:t>« </w:t>
            </w:r>
            <w:r w:rsidRPr="00D06EA3">
              <w:rPr>
                <w:rFonts w:ascii="Calibri" w:hAnsi="Calibri" w:cs="Calibri"/>
                <w:color w:val="auto"/>
                <w:sz w:val="20"/>
                <w:szCs w:val="20"/>
              </w:rPr>
              <w:t>Des investissements supplémentaires sont nécessaires, par exemple dans les transports publics et la production d'énergie renouvelable, afin que les anciennes technologies puissent être remplacées. (…) Pour les technologies trop</w:t>
            </w:r>
            <w:r w:rsidRPr="00D06EA3">
              <w:rPr>
                <w:rFonts w:ascii="Arial" w:hAnsi="Arial" w:cs="Arial"/>
                <w:color w:val="000000"/>
                <w:sz w:val="20"/>
                <w:szCs w:val="20"/>
              </w:rPr>
              <w:t xml:space="preserve"> </w:t>
            </w:r>
            <w:r w:rsidRPr="00D06EA3">
              <w:rPr>
                <w:rFonts w:ascii="Calibri" w:hAnsi="Calibri" w:cs="Calibri"/>
                <w:color w:val="auto"/>
                <w:sz w:val="20"/>
                <w:szCs w:val="20"/>
              </w:rPr>
              <w:t>néfastes pour l’environnement, des prescriptions et des interdictions doivent être mises en œuvre. »</w:t>
            </w:r>
            <w:r w:rsidRPr="00D06EA3">
              <w:rPr>
                <w:rFonts w:ascii="Arial" w:hAnsi="Arial" w:cs="Arial"/>
                <w:color w:val="000000"/>
                <w:sz w:val="20"/>
                <w:szCs w:val="20"/>
              </w:rPr>
              <w:t xml:space="preserve"> </w:t>
            </w:r>
          </w:p>
          <w:p w14:paraId="18140147" w14:textId="17FA9AB4" w:rsidR="00990290" w:rsidRPr="00D06EA3" w:rsidRDefault="00990290" w:rsidP="00636C31">
            <w:pPr>
              <w:jc w:val="both"/>
              <w:rPr>
                <w:sz w:val="20"/>
                <w:szCs w:val="20"/>
              </w:rPr>
            </w:pPr>
          </w:p>
          <w:p w14:paraId="778B28F9" w14:textId="340A6128" w:rsidR="00990290" w:rsidRPr="00D06EA3" w:rsidRDefault="00990290" w:rsidP="00990290">
            <w:pPr>
              <w:jc w:val="both"/>
              <w:rPr>
                <w:b/>
                <w:sz w:val="20"/>
                <w:szCs w:val="20"/>
              </w:rPr>
            </w:pPr>
            <w:r w:rsidRPr="00D06EA3">
              <w:rPr>
                <w:b/>
                <w:sz w:val="20"/>
                <w:szCs w:val="20"/>
              </w:rPr>
              <w:t>Aspects relatif à la transition juste</w:t>
            </w:r>
          </w:p>
          <w:p w14:paraId="6933C16B" w14:textId="6A9735F6" w:rsidR="00573AC8" w:rsidRPr="00D06EA3" w:rsidRDefault="00573AC8" w:rsidP="00573AC8">
            <w:pPr>
              <w:pStyle w:val="Titre2"/>
              <w:jc w:val="both"/>
              <w:rPr>
                <w:rFonts w:ascii="Calibri" w:eastAsiaTheme="minorHAnsi" w:hAnsi="Calibri" w:cs="Calibri"/>
                <w:i/>
                <w:color w:val="auto"/>
                <w:sz w:val="20"/>
                <w:szCs w:val="20"/>
              </w:rPr>
            </w:pPr>
            <w:r w:rsidRPr="00D06EA3">
              <w:rPr>
                <w:rFonts w:ascii="Calibri" w:eastAsiaTheme="minorHAnsi" w:hAnsi="Calibri" w:cs="Calibri"/>
                <w:i/>
                <w:color w:val="auto"/>
                <w:sz w:val="20"/>
                <w:szCs w:val="20"/>
              </w:rPr>
              <w:t>Redistributio</w:t>
            </w:r>
            <w:r w:rsidR="009859C8" w:rsidRPr="00D06EA3">
              <w:rPr>
                <w:rFonts w:ascii="Calibri" w:eastAsiaTheme="minorHAnsi" w:hAnsi="Calibri" w:cs="Calibri"/>
                <w:i/>
                <w:color w:val="auto"/>
                <w:sz w:val="20"/>
                <w:szCs w:val="20"/>
              </w:rPr>
              <w:t>n de la taxe à la population</w:t>
            </w:r>
          </w:p>
          <w:p w14:paraId="0D3DFB90" w14:textId="764BC6C5" w:rsidR="00990290" w:rsidRPr="00D06EA3" w:rsidRDefault="009859C8" w:rsidP="00573AC8">
            <w:pPr>
              <w:jc w:val="both"/>
              <w:rPr>
                <w:rFonts w:eastAsiaTheme="majorEastAsia"/>
                <w:sz w:val="20"/>
                <w:szCs w:val="20"/>
              </w:rPr>
            </w:pPr>
            <w:r w:rsidRPr="00D06EA3">
              <w:rPr>
                <w:rFonts w:eastAsiaTheme="majorEastAsia"/>
                <w:sz w:val="20"/>
                <w:szCs w:val="20"/>
              </w:rPr>
              <w:t>« </w:t>
            </w:r>
            <w:r w:rsidR="00573AC8" w:rsidRPr="00D06EA3">
              <w:rPr>
                <w:rFonts w:eastAsiaTheme="majorEastAsia"/>
                <w:sz w:val="20"/>
                <w:szCs w:val="20"/>
              </w:rPr>
              <w:t>Toute taxe climatique/énergétique doit être intégralement redistribuée aux ménages. C’est à cette condition que la qualité de vie des ménages ne sera pas prétér</w:t>
            </w:r>
            <w:r w:rsidRPr="00D06EA3">
              <w:rPr>
                <w:rFonts w:eastAsiaTheme="majorEastAsia"/>
                <w:sz w:val="20"/>
                <w:szCs w:val="20"/>
              </w:rPr>
              <w:t>itée et que les solutions écolo</w:t>
            </w:r>
            <w:r w:rsidR="00573AC8" w:rsidRPr="00D06EA3">
              <w:rPr>
                <w:rFonts w:eastAsiaTheme="majorEastAsia"/>
                <w:sz w:val="20"/>
                <w:szCs w:val="20"/>
              </w:rPr>
              <w:t>giques seront financièrement accessibles.</w:t>
            </w:r>
            <w:r w:rsidRPr="00D06EA3">
              <w:rPr>
                <w:rFonts w:eastAsiaTheme="majorEastAsia"/>
                <w:sz w:val="20"/>
                <w:szCs w:val="20"/>
              </w:rPr>
              <w:t> »</w:t>
            </w:r>
          </w:p>
          <w:p w14:paraId="341E9038" w14:textId="77777777" w:rsidR="009859C8" w:rsidRPr="00D06EA3" w:rsidRDefault="009859C8" w:rsidP="009859C8">
            <w:pPr>
              <w:jc w:val="both"/>
              <w:rPr>
                <w:rFonts w:eastAsiaTheme="majorEastAsia"/>
                <w:sz w:val="20"/>
                <w:szCs w:val="20"/>
              </w:rPr>
            </w:pPr>
            <w:r w:rsidRPr="00D06EA3">
              <w:rPr>
                <w:rFonts w:eastAsiaTheme="majorEastAsia"/>
                <w:sz w:val="20"/>
                <w:szCs w:val="20"/>
              </w:rPr>
              <w:t>« Il faut procéder à une redistribution à la population par tête (comme dans le cas de la loi sur le CO2) car c’est la variante de redistribution la plus juste pour les familles avec enfants et les revenus modestes. »</w:t>
            </w:r>
          </w:p>
          <w:p w14:paraId="61DDA0DE" w14:textId="77777777" w:rsidR="009859C8" w:rsidRPr="00D06EA3" w:rsidRDefault="009859C8" w:rsidP="009859C8">
            <w:pPr>
              <w:jc w:val="both"/>
              <w:rPr>
                <w:rFonts w:eastAsiaTheme="majorEastAsia"/>
                <w:sz w:val="20"/>
                <w:szCs w:val="20"/>
              </w:rPr>
            </w:pPr>
            <w:r w:rsidRPr="00D06EA3">
              <w:rPr>
                <w:rFonts w:eastAsiaTheme="majorEastAsia"/>
                <w:sz w:val="20"/>
                <w:szCs w:val="20"/>
              </w:rPr>
              <w:t>« Il faut renoncer à une redistribution à l’économie car elle a la faculté de répercuter le montant de la taxe sur les prix et parce que de nombreuses entreprises peuvent déjà se faire exempter à certaines conditions. »</w:t>
            </w:r>
          </w:p>
          <w:p w14:paraId="17B2A6F7" w14:textId="77777777" w:rsidR="009859C8" w:rsidRPr="00D06EA3" w:rsidRDefault="009859C8" w:rsidP="009859C8">
            <w:pPr>
              <w:jc w:val="both"/>
              <w:rPr>
                <w:rFonts w:eastAsiaTheme="majorEastAsia"/>
                <w:sz w:val="20"/>
                <w:szCs w:val="20"/>
              </w:rPr>
            </w:pPr>
            <w:r w:rsidRPr="00D06EA3">
              <w:rPr>
                <w:rFonts w:eastAsiaTheme="majorEastAsia"/>
                <w:sz w:val="20"/>
                <w:szCs w:val="20"/>
              </w:rPr>
              <w:t>« Il faut tenir compte des régions périphériques car leurs habitants sont davantage touchés par des taxes d’incitation que ceux des centres et des agglomérations, pouvant moins facilement renoncer à utiliser un véhicule privé. »</w:t>
            </w:r>
          </w:p>
          <w:p w14:paraId="6C6D658F" w14:textId="3BA9C4AD" w:rsidR="009859C8" w:rsidRPr="00D06EA3" w:rsidRDefault="009859C8" w:rsidP="00573AC8">
            <w:pPr>
              <w:jc w:val="both"/>
              <w:rPr>
                <w:rFonts w:eastAsiaTheme="majorEastAsia"/>
                <w:sz w:val="20"/>
                <w:szCs w:val="20"/>
              </w:rPr>
            </w:pPr>
          </w:p>
          <w:p w14:paraId="7841E266" w14:textId="77777777" w:rsidR="009859C8" w:rsidRPr="00D06EA3" w:rsidRDefault="009859C8" w:rsidP="009859C8">
            <w:pPr>
              <w:pStyle w:val="Titre2"/>
              <w:jc w:val="both"/>
              <w:rPr>
                <w:rFonts w:ascii="Calibri" w:eastAsiaTheme="minorHAnsi" w:hAnsi="Calibri" w:cs="Calibri"/>
                <w:i/>
                <w:color w:val="auto"/>
                <w:sz w:val="20"/>
                <w:szCs w:val="20"/>
              </w:rPr>
            </w:pPr>
            <w:r w:rsidRPr="00D06EA3">
              <w:rPr>
                <w:rFonts w:ascii="Calibri" w:eastAsiaTheme="minorHAnsi" w:hAnsi="Calibri" w:cs="Calibri"/>
                <w:i/>
                <w:color w:val="auto"/>
                <w:sz w:val="20"/>
                <w:szCs w:val="20"/>
              </w:rPr>
              <w:t>Formation et reconversion professionnelle</w:t>
            </w:r>
          </w:p>
          <w:p w14:paraId="07020126" w14:textId="7076C86E" w:rsidR="009859C8" w:rsidRPr="00D06EA3" w:rsidRDefault="009859C8" w:rsidP="00EE33BE">
            <w:pPr>
              <w:jc w:val="both"/>
              <w:rPr>
                <w:rFonts w:eastAsiaTheme="majorEastAsia"/>
                <w:sz w:val="20"/>
                <w:szCs w:val="20"/>
              </w:rPr>
            </w:pPr>
            <w:r w:rsidRPr="00D06EA3">
              <w:rPr>
                <w:rFonts w:eastAsiaTheme="majorEastAsia"/>
                <w:sz w:val="20"/>
                <w:szCs w:val="20"/>
              </w:rPr>
              <w:t>« Travail.Suisse demande que la Confédération réalise une vaste étude pour estimer les conséquences d’une sortie complète des énergies fossiles d’ici 2040-2050 pour la formation, la formation continue et les reconversions professionnelles des différentes branches de l’économie et formuler des recommandations. »</w:t>
            </w:r>
          </w:p>
          <w:p w14:paraId="17F4188D" w14:textId="378B1C69" w:rsidR="007C2904" w:rsidRPr="00D06EA3" w:rsidRDefault="007C2904" w:rsidP="00EE33BE">
            <w:pPr>
              <w:pStyle w:val="Titre2"/>
              <w:jc w:val="both"/>
              <w:rPr>
                <w:rFonts w:ascii="Calibri" w:hAnsi="Calibri" w:cs="Calibri"/>
                <w:color w:val="auto"/>
                <w:sz w:val="20"/>
                <w:szCs w:val="20"/>
              </w:rPr>
            </w:pPr>
            <w:r w:rsidRPr="00D06EA3">
              <w:rPr>
                <w:rFonts w:ascii="Calibri" w:hAnsi="Calibri" w:cs="Calibri"/>
                <w:color w:val="auto"/>
                <w:sz w:val="20"/>
                <w:szCs w:val="20"/>
              </w:rPr>
              <w:t xml:space="preserve">« Travail.Suisse demande un véritable accompagnement par la formation et un revenu de transition écologique pour faire face au changement structurel provoqué par la politique climatique. » </w:t>
            </w:r>
          </w:p>
          <w:p w14:paraId="084C20F4" w14:textId="22ED90DD" w:rsidR="009859C8" w:rsidRPr="00D06EA3" w:rsidRDefault="009859C8" w:rsidP="00EE33BE">
            <w:pPr>
              <w:autoSpaceDE w:val="0"/>
              <w:autoSpaceDN w:val="0"/>
              <w:adjustRightInd w:val="0"/>
              <w:jc w:val="both"/>
              <w:rPr>
                <w:rFonts w:eastAsiaTheme="majorEastAsia"/>
                <w:sz w:val="20"/>
                <w:szCs w:val="20"/>
              </w:rPr>
            </w:pPr>
            <w:r w:rsidRPr="00D06EA3">
              <w:rPr>
                <w:rFonts w:eastAsiaTheme="majorEastAsia"/>
                <w:sz w:val="20"/>
                <w:szCs w:val="20"/>
              </w:rPr>
              <w:t xml:space="preserve">« Il faut instaurer un fonds national de formation continue (…), qui permet aux personnes issues de branches qui seront profondément transformées au cours des prochaines décennies, ou n’existeront peut-être même plus, de se recycler en conséquence. » </w:t>
            </w:r>
          </w:p>
          <w:p w14:paraId="3B6B0C9F" w14:textId="74EE723B" w:rsidR="007C2904" w:rsidRPr="00D06EA3" w:rsidRDefault="009859C8" w:rsidP="00EE33BE">
            <w:pPr>
              <w:autoSpaceDE w:val="0"/>
              <w:autoSpaceDN w:val="0"/>
              <w:adjustRightInd w:val="0"/>
              <w:jc w:val="both"/>
              <w:rPr>
                <w:rFonts w:eastAsiaTheme="majorEastAsia"/>
                <w:sz w:val="20"/>
                <w:szCs w:val="20"/>
              </w:rPr>
            </w:pPr>
            <w:r w:rsidRPr="00D06EA3">
              <w:rPr>
                <w:rFonts w:eastAsiaTheme="majorEastAsia"/>
                <w:sz w:val="20"/>
                <w:szCs w:val="20"/>
              </w:rPr>
              <w:t xml:space="preserve">« Travail.Suisse soutient la motion de la Conseillère nationale Léonore </w:t>
            </w:r>
            <w:proofErr w:type="spellStart"/>
            <w:r w:rsidRPr="00D06EA3">
              <w:rPr>
                <w:rFonts w:eastAsiaTheme="majorEastAsia"/>
                <w:sz w:val="20"/>
                <w:szCs w:val="20"/>
              </w:rPr>
              <w:t>Porchet</w:t>
            </w:r>
            <w:proofErr w:type="spellEnd"/>
            <w:r w:rsidRPr="00D06EA3">
              <w:rPr>
                <w:rFonts w:eastAsiaTheme="majorEastAsia"/>
                <w:sz w:val="20"/>
                <w:szCs w:val="20"/>
              </w:rPr>
              <w:t xml:space="preserve"> qui demande la mise en place d’une nouvelle assurance professionnelle sur le modèle de l’APG visant à une réorientation professionnelle durable pour tout individu touché professionnellement</w:t>
            </w:r>
            <w:r w:rsidR="007C2904" w:rsidRPr="00D06EA3">
              <w:rPr>
                <w:rFonts w:eastAsiaTheme="majorEastAsia"/>
                <w:sz w:val="20"/>
                <w:szCs w:val="20"/>
              </w:rPr>
              <w:t xml:space="preserve"> par les atteintes à l'environne</w:t>
            </w:r>
            <w:r w:rsidRPr="00D06EA3">
              <w:rPr>
                <w:rFonts w:eastAsiaTheme="majorEastAsia"/>
                <w:sz w:val="20"/>
                <w:szCs w:val="20"/>
              </w:rPr>
              <w:t>ment, notamment le changement climatique, et pour les bénéficiaires des assurances sociales.</w:t>
            </w:r>
            <w:r w:rsidR="007C2904" w:rsidRPr="00D06EA3">
              <w:rPr>
                <w:rFonts w:eastAsiaTheme="majorEastAsia"/>
                <w:sz w:val="20"/>
                <w:szCs w:val="20"/>
              </w:rPr>
              <w:t> »</w:t>
            </w:r>
            <w:r w:rsidRPr="00D06EA3">
              <w:rPr>
                <w:rFonts w:eastAsiaTheme="majorEastAsia"/>
                <w:sz w:val="20"/>
                <w:szCs w:val="20"/>
              </w:rPr>
              <w:t xml:space="preserve"> </w:t>
            </w:r>
          </w:p>
          <w:p w14:paraId="54E840A7" w14:textId="176D8B21" w:rsidR="009859C8" w:rsidRPr="00D06EA3" w:rsidRDefault="007C2904" w:rsidP="00EE33BE">
            <w:pPr>
              <w:pStyle w:val="Titre2"/>
              <w:jc w:val="both"/>
              <w:rPr>
                <w:rFonts w:ascii="Calibri" w:hAnsi="Calibri" w:cs="Calibri"/>
                <w:color w:val="auto"/>
                <w:sz w:val="20"/>
                <w:szCs w:val="20"/>
              </w:rPr>
            </w:pPr>
            <w:r w:rsidRPr="00D06EA3">
              <w:rPr>
                <w:rFonts w:ascii="Calibri" w:hAnsi="Calibri" w:cs="Calibri"/>
                <w:color w:val="auto"/>
                <w:sz w:val="20"/>
                <w:szCs w:val="20"/>
              </w:rPr>
              <w:t>« </w:t>
            </w:r>
            <w:r w:rsidR="009859C8" w:rsidRPr="00D06EA3">
              <w:rPr>
                <w:rFonts w:ascii="Calibri" w:hAnsi="Calibri" w:cs="Calibri"/>
                <w:color w:val="auto"/>
                <w:sz w:val="20"/>
                <w:szCs w:val="20"/>
              </w:rPr>
              <w:t>Pour les cas les plus difficiles nécessitant une reconversion professionnelle, il faut instaurer dans le cadre du système d’assurances sociales existante aussi un revenu de transition écologique.</w:t>
            </w:r>
            <w:r w:rsidRPr="00D06EA3">
              <w:rPr>
                <w:rFonts w:ascii="Calibri" w:hAnsi="Calibri" w:cs="Calibri"/>
                <w:color w:val="auto"/>
                <w:sz w:val="20"/>
                <w:szCs w:val="20"/>
              </w:rPr>
              <w:t> »</w:t>
            </w:r>
          </w:p>
          <w:p w14:paraId="6D05399B" w14:textId="77777777" w:rsidR="009859C8" w:rsidRPr="00D06EA3" w:rsidRDefault="009859C8" w:rsidP="00EE33BE">
            <w:pPr>
              <w:pStyle w:val="Titre2"/>
              <w:jc w:val="both"/>
              <w:rPr>
                <w:rFonts w:ascii="Calibri" w:hAnsi="Calibri" w:cs="Calibri"/>
                <w:color w:val="auto"/>
                <w:sz w:val="20"/>
                <w:szCs w:val="20"/>
              </w:rPr>
            </w:pPr>
          </w:p>
          <w:p w14:paraId="7C7FE192" w14:textId="77777777" w:rsidR="009859C8" w:rsidRPr="00D06EA3" w:rsidRDefault="009859C8" w:rsidP="00EE33BE">
            <w:pPr>
              <w:pStyle w:val="Titre2"/>
              <w:jc w:val="both"/>
              <w:rPr>
                <w:sz w:val="20"/>
                <w:szCs w:val="20"/>
              </w:rPr>
            </w:pPr>
            <w:r w:rsidRPr="00D06EA3">
              <w:rPr>
                <w:rFonts w:ascii="Calibri" w:eastAsiaTheme="minorHAnsi" w:hAnsi="Calibri" w:cs="Calibri"/>
                <w:i/>
                <w:color w:val="auto"/>
                <w:sz w:val="20"/>
                <w:szCs w:val="20"/>
              </w:rPr>
              <w:t>Intégration à la loi</w:t>
            </w:r>
          </w:p>
          <w:p w14:paraId="50FD9E64" w14:textId="5DF60B4B" w:rsidR="009859C8" w:rsidRPr="00D06EA3" w:rsidRDefault="00EE33BE" w:rsidP="00EE33BE">
            <w:pPr>
              <w:jc w:val="both"/>
              <w:rPr>
                <w:rFonts w:eastAsiaTheme="majorEastAsia"/>
                <w:sz w:val="20"/>
                <w:szCs w:val="20"/>
              </w:rPr>
            </w:pPr>
            <w:r w:rsidRPr="00D06EA3">
              <w:rPr>
                <w:rFonts w:eastAsiaTheme="majorEastAsia"/>
                <w:sz w:val="20"/>
                <w:szCs w:val="20"/>
              </w:rPr>
              <w:t>« </w:t>
            </w:r>
            <w:r w:rsidR="009859C8" w:rsidRPr="00D06EA3">
              <w:rPr>
                <w:rFonts w:eastAsiaTheme="majorEastAsia"/>
                <w:sz w:val="20"/>
                <w:szCs w:val="20"/>
              </w:rPr>
              <w:t>Travail.Suisse demande que la notion de transi</w:t>
            </w:r>
            <w:r w:rsidRPr="00D06EA3">
              <w:rPr>
                <w:rFonts w:eastAsiaTheme="majorEastAsia"/>
                <w:sz w:val="20"/>
                <w:szCs w:val="20"/>
              </w:rPr>
              <w:t>tion juste devienne partie inté</w:t>
            </w:r>
            <w:r w:rsidR="009859C8" w:rsidRPr="00D06EA3">
              <w:rPr>
                <w:rFonts w:eastAsiaTheme="majorEastAsia"/>
                <w:sz w:val="20"/>
                <w:szCs w:val="20"/>
              </w:rPr>
              <w:t>grante de la politique climatique suisse et soit ancrée dans la loi, en utilisant le cadre défini par l’Organisation internationale du travail (OIT) dans ses lignes directrices pour une transition juste.</w:t>
            </w:r>
            <w:r w:rsidRPr="00D06EA3">
              <w:rPr>
                <w:rFonts w:eastAsiaTheme="majorEastAsia"/>
                <w:sz w:val="20"/>
                <w:szCs w:val="20"/>
              </w:rPr>
              <w:t> »</w:t>
            </w:r>
            <w:r w:rsidR="009859C8" w:rsidRPr="00D06EA3">
              <w:rPr>
                <w:rFonts w:eastAsiaTheme="majorEastAsia"/>
                <w:sz w:val="20"/>
                <w:szCs w:val="20"/>
              </w:rPr>
              <w:t xml:space="preserve"> </w:t>
            </w:r>
          </w:p>
          <w:p w14:paraId="2CB24203" w14:textId="77777777" w:rsidR="009859C8" w:rsidRPr="00D06EA3" w:rsidRDefault="009859C8" w:rsidP="00EE33BE">
            <w:pPr>
              <w:jc w:val="both"/>
              <w:rPr>
                <w:b/>
                <w:bCs/>
                <w:sz w:val="20"/>
                <w:szCs w:val="20"/>
              </w:rPr>
            </w:pPr>
          </w:p>
          <w:p w14:paraId="4D9B4534" w14:textId="77777777" w:rsidR="009859C8" w:rsidRPr="00D06EA3" w:rsidRDefault="009859C8" w:rsidP="00EE33BE">
            <w:pPr>
              <w:pStyle w:val="Titre2"/>
              <w:jc w:val="both"/>
              <w:rPr>
                <w:rFonts w:ascii="Calibri" w:eastAsiaTheme="minorHAnsi" w:hAnsi="Calibri" w:cs="Calibri"/>
                <w:i/>
                <w:color w:val="auto"/>
                <w:sz w:val="20"/>
                <w:szCs w:val="20"/>
              </w:rPr>
            </w:pPr>
            <w:r w:rsidRPr="00D06EA3">
              <w:rPr>
                <w:rFonts w:ascii="Calibri" w:eastAsiaTheme="minorHAnsi" w:hAnsi="Calibri" w:cs="Calibri"/>
                <w:i/>
                <w:color w:val="auto"/>
                <w:sz w:val="20"/>
                <w:szCs w:val="20"/>
              </w:rPr>
              <w:t>Inclusion des partenaires sociaux</w:t>
            </w:r>
          </w:p>
          <w:p w14:paraId="115B7042" w14:textId="49269922" w:rsidR="009859C8" w:rsidRPr="00D06EA3" w:rsidRDefault="00EE33BE" w:rsidP="00EE33BE">
            <w:pPr>
              <w:autoSpaceDE w:val="0"/>
              <w:autoSpaceDN w:val="0"/>
              <w:adjustRightInd w:val="0"/>
              <w:jc w:val="both"/>
              <w:rPr>
                <w:rFonts w:eastAsiaTheme="majorEastAsia"/>
                <w:sz w:val="20"/>
                <w:szCs w:val="20"/>
              </w:rPr>
            </w:pPr>
            <w:r w:rsidRPr="00D06EA3">
              <w:rPr>
                <w:rFonts w:eastAsiaTheme="majorEastAsia"/>
                <w:sz w:val="20"/>
                <w:szCs w:val="20"/>
              </w:rPr>
              <w:t>« </w:t>
            </w:r>
            <w:r w:rsidR="009859C8" w:rsidRPr="00D06EA3">
              <w:rPr>
                <w:rFonts w:eastAsiaTheme="majorEastAsia"/>
                <w:sz w:val="20"/>
                <w:szCs w:val="20"/>
              </w:rPr>
              <w:t>Travail.Suisse demande que, comme c’est le cas pour l’économie privée, on associe désormais bien plus étroite</w:t>
            </w:r>
            <w:r w:rsidRPr="00D06EA3">
              <w:rPr>
                <w:rFonts w:eastAsiaTheme="majorEastAsia"/>
                <w:sz w:val="20"/>
                <w:szCs w:val="20"/>
              </w:rPr>
              <w:t>ment les syndicats à la mise en œuvre de la politique clima</w:t>
            </w:r>
            <w:r w:rsidR="009859C8" w:rsidRPr="00D06EA3">
              <w:rPr>
                <w:rFonts w:eastAsiaTheme="majorEastAsia"/>
                <w:sz w:val="20"/>
                <w:szCs w:val="20"/>
              </w:rPr>
              <w:t>tique de la Confédération pour les</w:t>
            </w:r>
            <w:r w:rsidRPr="00D06EA3">
              <w:rPr>
                <w:rFonts w:eastAsiaTheme="majorEastAsia"/>
                <w:sz w:val="20"/>
                <w:szCs w:val="20"/>
              </w:rPr>
              <w:t xml:space="preserve"> </w:t>
            </w:r>
            <w:r w:rsidR="009859C8" w:rsidRPr="00D06EA3">
              <w:rPr>
                <w:rFonts w:eastAsiaTheme="majorEastAsia"/>
                <w:sz w:val="20"/>
                <w:szCs w:val="20"/>
              </w:rPr>
              <w:t>domaines concernant les entreprises, le marché du travail et la politique sociale.</w:t>
            </w:r>
            <w:r w:rsidRPr="00D06EA3">
              <w:rPr>
                <w:rFonts w:eastAsiaTheme="majorEastAsia"/>
                <w:sz w:val="20"/>
                <w:szCs w:val="20"/>
              </w:rPr>
              <w:t> »</w:t>
            </w:r>
          </w:p>
          <w:p w14:paraId="7BEE5995" w14:textId="77777777" w:rsidR="009859C8" w:rsidRPr="00D06EA3" w:rsidRDefault="009859C8" w:rsidP="00EE33BE">
            <w:pPr>
              <w:jc w:val="both"/>
              <w:rPr>
                <w:rFonts w:ascii="Arial" w:hAnsi="Arial" w:cs="Arial"/>
                <w:b/>
                <w:bCs/>
                <w:color w:val="000000"/>
                <w:sz w:val="20"/>
                <w:szCs w:val="20"/>
              </w:rPr>
            </w:pPr>
          </w:p>
          <w:p w14:paraId="01EF9F85" w14:textId="77777777" w:rsidR="009859C8" w:rsidRPr="00D06EA3" w:rsidRDefault="009859C8" w:rsidP="00EE33BE">
            <w:pPr>
              <w:pStyle w:val="Titre2"/>
              <w:jc w:val="both"/>
              <w:rPr>
                <w:rFonts w:ascii="Calibri" w:eastAsiaTheme="minorHAnsi" w:hAnsi="Calibri" w:cs="Calibri"/>
                <w:i/>
                <w:color w:val="auto"/>
                <w:sz w:val="20"/>
                <w:szCs w:val="20"/>
              </w:rPr>
            </w:pPr>
            <w:r w:rsidRPr="00D06EA3">
              <w:rPr>
                <w:rFonts w:ascii="Calibri" w:eastAsiaTheme="minorHAnsi" w:hAnsi="Calibri" w:cs="Calibri"/>
                <w:i/>
                <w:color w:val="auto"/>
                <w:sz w:val="20"/>
                <w:szCs w:val="20"/>
              </w:rPr>
              <w:t>Économie circulaire</w:t>
            </w:r>
          </w:p>
          <w:p w14:paraId="60C7647E" w14:textId="119B0458" w:rsidR="009859C8" w:rsidRPr="00D06EA3" w:rsidRDefault="00EE33BE" w:rsidP="00EE33BE">
            <w:pPr>
              <w:autoSpaceDE w:val="0"/>
              <w:autoSpaceDN w:val="0"/>
              <w:adjustRightInd w:val="0"/>
              <w:jc w:val="both"/>
              <w:rPr>
                <w:rFonts w:eastAsiaTheme="majorEastAsia"/>
                <w:sz w:val="20"/>
                <w:szCs w:val="20"/>
              </w:rPr>
            </w:pPr>
            <w:r w:rsidRPr="00D06EA3">
              <w:rPr>
                <w:rFonts w:eastAsiaTheme="majorEastAsia"/>
                <w:sz w:val="20"/>
                <w:szCs w:val="20"/>
              </w:rPr>
              <w:t>« </w:t>
            </w:r>
            <w:r w:rsidR="009859C8" w:rsidRPr="00D06EA3">
              <w:rPr>
                <w:rFonts w:eastAsiaTheme="majorEastAsia"/>
                <w:sz w:val="20"/>
                <w:szCs w:val="20"/>
              </w:rPr>
              <w:t>Travail.Suisse demande que la fiscalité favorise l’économie circulaire.</w:t>
            </w:r>
            <w:r w:rsidRPr="00D06EA3">
              <w:rPr>
                <w:rFonts w:eastAsiaTheme="majorEastAsia"/>
                <w:sz w:val="20"/>
                <w:szCs w:val="20"/>
              </w:rPr>
              <w:t> »</w:t>
            </w:r>
            <w:r w:rsidR="009859C8" w:rsidRPr="00D06EA3">
              <w:rPr>
                <w:rFonts w:eastAsiaTheme="majorEastAsia"/>
                <w:sz w:val="20"/>
                <w:szCs w:val="20"/>
              </w:rPr>
              <w:t xml:space="preserve"> </w:t>
            </w:r>
          </w:p>
          <w:p w14:paraId="26DC9D57" w14:textId="7A16E385" w:rsidR="001E79FC" w:rsidRPr="00D06EA3" w:rsidRDefault="001E79FC" w:rsidP="00EE33BE">
            <w:pPr>
              <w:jc w:val="both"/>
              <w:rPr>
                <w:sz w:val="20"/>
                <w:szCs w:val="20"/>
              </w:rPr>
            </w:pPr>
          </w:p>
        </w:tc>
      </w:tr>
      <w:tr w:rsidR="00961657" w14:paraId="125E9639" w14:textId="77777777" w:rsidTr="00B84CD4">
        <w:tc>
          <w:tcPr>
            <w:tcW w:w="1408" w:type="dxa"/>
            <w:tcBorders>
              <w:top w:val="nil"/>
              <w:left w:val="single" w:sz="8" w:space="0" w:color="auto"/>
              <w:bottom w:val="single" w:sz="8" w:space="0" w:color="auto"/>
              <w:right w:val="single" w:sz="8" w:space="0" w:color="auto"/>
            </w:tcBorders>
            <w:shd w:val="clear" w:color="auto" w:fill="76923C" w:themeFill="accent3" w:themeFillShade="BF"/>
            <w:tcMar>
              <w:top w:w="0" w:type="dxa"/>
              <w:left w:w="108" w:type="dxa"/>
              <w:bottom w:w="0" w:type="dxa"/>
              <w:right w:w="108" w:type="dxa"/>
            </w:tcMar>
            <w:hideMark/>
          </w:tcPr>
          <w:p w14:paraId="4C4CFD27" w14:textId="77777777" w:rsidR="00961657" w:rsidRPr="00636C31" w:rsidRDefault="004A55CF">
            <w:pPr>
              <w:rPr>
                <w:color w:val="FFFFFF" w:themeColor="background1"/>
                <w:sz w:val="18"/>
              </w:rPr>
            </w:pPr>
            <w:r w:rsidRPr="00636C31">
              <w:rPr>
                <w:color w:val="FFFFFF" w:themeColor="background1"/>
                <w:sz w:val="18"/>
              </w:rPr>
              <w:lastRenderedPageBreak/>
              <w:t>Remarques</w:t>
            </w:r>
            <w:r w:rsidR="00164E77" w:rsidRPr="00636C31">
              <w:rPr>
                <w:color w:val="FFFFFF" w:themeColor="background1"/>
                <w:sz w:val="18"/>
              </w:rPr>
              <w:t xml:space="preserve"> </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98A38D" w14:textId="7A5146BC" w:rsidR="00961657" w:rsidRPr="00D06EA3" w:rsidRDefault="00CD2825" w:rsidP="00636C31">
            <w:pPr>
              <w:jc w:val="both"/>
              <w:rPr>
                <w:sz w:val="20"/>
                <w:szCs w:val="20"/>
              </w:rPr>
            </w:pPr>
            <w:r w:rsidRPr="00D06EA3">
              <w:rPr>
                <w:sz w:val="20"/>
                <w:szCs w:val="20"/>
              </w:rPr>
              <w:t>Il s’</w:t>
            </w:r>
            <w:r w:rsidR="004C5174" w:rsidRPr="00D06EA3">
              <w:rPr>
                <w:sz w:val="20"/>
                <w:szCs w:val="20"/>
              </w:rPr>
              <w:t>agit d’un plan d’action fédéral. Il faudrait voir dans quelle mesure il est re</w:t>
            </w:r>
            <w:r w:rsidR="003E5405" w:rsidRPr="00D06EA3">
              <w:rPr>
                <w:sz w:val="20"/>
                <w:szCs w:val="20"/>
              </w:rPr>
              <w:t>pris par les organisat</w:t>
            </w:r>
            <w:r w:rsidR="007C2904" w:rsidRPr="00D06EA3">
              <w:rPr>
                <w:sz w:val="20"/>
                <w:szCs w:val="20"/>
              </w:rPr>
              <w:t>ions genevoises du domaine de l’emploi (OCE, syndicats) et de la formation (</w:t>
            </w:r>
            <w:r w:rsidR="00E93099" w:rsidRPr="00D06EA3">
              <w:rPr>
                <w:sz w:val="20"/>
                <w:szCs w:val="20"/>
              </w:rPr>
              <w:t>OFPC).</w:t>
            </w:r>
          </w:p>
          <w:p w14:paraId="3AC71EA8" w14:textId="77777777" w:rsidR="007158B0" w:rsidRPr="00D06EA3" w:rsidRDefault="007158B0" w:rsidP="00636C31">
            <w:pPr>
              <w:jc w:val="both"/>
              <w:rPr>
                <w:sz w:val="20"/>
                <w:szCs w:val="20"/>
              </w:rPr>
            </w:pPr>
          </w:p>
          <w:p w14:paraId="03EFE2FC" w14:textId="77777777" w:rsidR="00CD2825" w:rsidRPr="00D06EA3" w:rsidRDefault="00CD2825" w:rsidP="00636C31">
            <w:pPr>
              <w:jc w:val="both"/>
              <w:rPr>
                <w:sz w:val="20"/>
                <w:szCs w:val="20"/>
              </w:rPr>
            </w:pPr>
            <w:r w:rsidRPr="00D06EA3">
              <w:rPr>
                <w:sz w:val="20"/>
                <w:szCs w:val="20"/>
              </w:rPr>
              <w:t>Utilité stratégique</w:t>
            </w:r>
            <w:r w:rsidR="00E26B5F" w:rsidRPr="00D06EA3">
              <w:rPr>
                <w:sz w:val="20"/>
                <w:szCs w:val="20"/>
              </w:rPr>
              <w:t xml:space="preserve"> du document :</w:t>
            </w:r>
          </w:p>
          <w:p w14:paraId="24E389C2" w14:textId="77777777" w:rsidR="00E26B5F" w:rsidRPr="00D06EA3" w:rsidRDefault="00E26B5F" w:rsidP="00636C31">
            <w:pPr>
              <w:pStyle w:val="Paragraphedeliste"/>
              <w:numPr>
                <w:ilvl w:val="0"/>
                <w:numId w:val="3"/>
              </w:numPr>
              <w:jc w:val="both"/>
              <w:rPr>
                <w:rFonts w:ascii="Calibri" w:hAnsi="Calibri" w:cs="Calibri"/>
                <w:sz w:val="20"/>
                <w:szCs w:val="20"/>
                <w:lang w:eastAsia="en-US"/>
              </w:rPr>
            </w:pPr>
            <w:r w:rsidRPr="00D06EA3">
              <w:rPr>
                <w:rFonts w:ascii="Calibri" w:hAnsi="Calibri" w:cs="Calibri"/>
                <w:sz w:val="20"/>
                <w:szCs w:val="20"/>
                <w:lang w:eastAsia="en-US"/>
              </w:rPr>
              <w:t xml:space="preserve">Produit par </w:t>
            </w:r>
            <w:r w:rsidR="004C5174" w:rsidRPr="00D06EA3">
              <w:rPr>
                <w:rFonts w:ascii="Calibri" w:hAnsi="Calibri" w:cs="Calibri"/>
                <w:sz w:val="20"/>
                <w:szCs w:val="20"/>
                <w:lang w:eastAsia="en-US"/>
              </w:rPr>
              <w:t>la deuxième</w:t>
            </w:r>
            <w:r w:rsidRPr="00D06EA3">
              <w:rPr>
                <w:rFonts w:ascii="Calibri" w:hAnsi="Calibri" w:cs="Calibri"/>
                <w:sz w:val="20"/>
                <w:szCs w:val="20"/>
                <w:lang w:eastAsia="en-US"/>
              </w:rPr>
              <w:t xml:space="preserve"> </w:t>
            </w:r>
            <w:r w:rsidR="004C5174" w:rsidRPr="00D06EA3">
              <w:rPr>
                <w:rFonts w:ascii="Calibri" w:hAnsi="Calibri" w:cs="Calibri"/>
                <w:sz w:val="20"/>
                <w:szCs w:val="20"/>
                <w:lang w:eastAsia="en-US"/>
              </w:rPr>
              <w:t>plus importante</w:t>
            </w:r>
            <w:r w:rsidRPr="00D06EA3">
              <w:rPr>
                <w:rFonts w:ascii="Calibri" w:hAnsi="Calibri" w:cs="Calibri"/>
                <w:sz w:val="20"/>
                <w:szCs w:val="20"/>
                <w:lang w:eastAsia="en-US"/>
              </w:rPr>
              <w:t xml:space="preserve"> organisation</w:t>
            </w:r>
            <w:r w:rsidR="004C5174" w:rsidRPr="00D06EA3">
              <w:rPr>
                <w:rFonts w:ascii="Calibri" w:hAnsi="Calibri" w:cs="Calibri"/>
                <w:sz w:val="20"/>
                <w:szCs w:val="20"/>
                <w:lang w:eastAsia="en-US"/>
              </w:rPr>
              <w:t xml:space="preserve"> </w:t>
            </w:r>
            <w:r w:rsidR="007158B0" w:rsidRPr="00D06EA3">
              <w:rPr>
                <w:rFonts w:ascii="Calibri" w:hAnsi="Calibri" w:cs="Calibri"/>
                <w:sz w:val="20"/>
                <w:szCs w:val="20"/>
                <w:lang w:eastAsia="en-US"/>
              </w:rPr>
              <w:t>faîtière</w:t>
            </w:r>
            <w:r w:rsidR="003E5405" w:rsidRPr="00D06EA3">
              <w:rPr>
                <w:rFonts w:ascii="Calibri" w:hAnsi="Calibri" w:cs="Calibri"/>
                <w:sz w:val="20"/>
                <w:szCs w:val="20"/>
                <w:lang w:eastAsia="en-US"/>
              </w:rPr>
              <w:t xml:space="preserve"> suisse</w:t>
            </w:r>
            <w:r w:rsidR="007158B0" w:rsidRPr="00D06EA3">
              <w:rPr>
                <w:rFonts w:ascii="Calibri" w:hAnsi="Calibri" w:cs="Calibri"/>
                <w:sz w:val="20"/>
                <w:szCs w:val="20"/>
                <w:lang w:eastAsia="en-US"/>
              </w:rPr>
              <w:t xml:space="preserve"> des salarié-e-s </w:t>
            </w:r>
            <w:r w:rsidR="00AE2CDA" w:rsidRPr="00D06EA3">
              <w:rPr>
                <w:rFonts w:ascii="Calibri" w:hAnsi="Calibri" w:cs="Calibri"/>
                <w:sz w:val="20"/>
                <w:szCs w:val="20"/>
                <w:lang w:eastAsia="en-US"/>
              </w:rPr>
              <w:t>(cf. supra).</w:t>
            </w:r>
          </w:p>
          <w:p w14:paraId="3AF6D74A" w14:textId="751F9D71" w:rsidR="004D353B" w:rsidRPr="00D06EA3" w:rsidRDefault="007158B0" w:rsidP="00A26F1E">
            <w:pPr>
              <w:pStyle w:val="Paragraphedeliste"/>
              <w:numPr>
                <w:ilvl w:val="0"/>
                <w:numId w:val="3"/>
              </w:numPr>
              <w:jc w:val="both"/>
              <w:rPr>
                <w:rFonts w:ascii="Calibri" w:hAnsi="Calibri" w:cs="Calibri"/>
                <w:sz w:val="20"/>
                <w:szCs w:val="20"/>
                <w:lang w:eastAsia="en-US"/>
              </w:rPr>
            </w:pPr>
            <w:r w:rsidRPr="00D06EA3">
              <w:rPr>
                <w:rFonts w:ascii="Calibri" w:hAnsi="Calibri" w:cs="Calibri"/>
                <w:sz w:val="20"/>
                <w:szCs w:val="20"/>
                <w:lang w:eastAsia="en-US"/>
              </w:rPr>
              <w:t>Insistance sur le caractère inséparable de l’écologique et du social (pas de « Green Deal » sans « Social Deal »).</w:t>
            </w:r>
            <w:r w:rsidR="004D353B" w:rsidRPr="00D06EA3">
              <w:rPr>
                <w:rFonts w:ascii="Calibri" w:hAnsi="Calibri" w:cs="Calibri"/>
                <w:sz w:val="20"/>
                <w:szCs w:val="20"/>
                <w:lang w:eastAsia="en-US"/>
              </w:rPr>
              <w:t xml:space="preserve"> </w:t>
            </w:r>
          </w:p>
          <w:p w14:paraId="2F103049" w14:textId="77777777" w:rsidR="00A26F1E" w:rsidRPr="00D06EA3" w:rsidRDefault="007158B0" w:rsidP="00A26F1E">
            <w:pPr>
              <w:pStyle w:val="Paragraphedeliste"/>
              <w:numPr>
                <w:ilvl w:val="0"/>
                <w:numId w:val="3"/>
              </w:numPr>
              <w:jc w:val="both"/>
              <w:rPr>
                <w:rFonts w:ascii="Calibri" w:hAnsi="Calibri" w:cs="Calibri"/>
                <w:sz w:val="20"/>
                <w:szCs w:val="20"/>
                <w:lang w:eastAsia="en-US"/>
              </w:rPr>
            </w:pPr>
            <w:r w:rsidRPr="00D06EA3">
              <w:rPr>
                <w:rFonts w:ascii="Calibri" w:hAnsi="Calibri" w:cs="Calibri"/>
                <w:sz w:val="20"/>
                <w:szCs w:val="20"/>
                <w:lang w:eastAsia="en-US"/>
              </w:rPr>
              <w:t xml:space="preserve">Mise en évidence du potentiel de création d’emploi de la transition écologique. </w:t>
            </w:r>
          </w:p>
          <w:p w14:paraId="4BDE45A2" w14:textId="32787694" w:rsidR="002E6F03" w:rsidRPr="00D06EA3" w:rsidRDefault="002E6F03" w:rsidP="00A26F1E">
            <w:pPr>
              <w:pStyle w:val="Paragraphedeliste"/>
              <w:numPr>
                <w:ilvl w:val="0"/>
                <w:numId w:val="3"/>
              </w:numPr>
              <w:jc w:val="both"/>
              <w:rPr>
                <w:rFonts w:ascii="Calibri" w:hAnsi="Calibri" w:cs="Calibri"/>
                <w:sz w:val="20"/>
                <w:szCs w:val="20"/>
                <w:lang w:eastAsia="en-US"/>
              </w:rPr>
            </w:pPr>
            <w:r w:rsidRPr="00D06EA3">
              <w:rPr>
                <w:rFonts w:ascii="Calibri" w:hAnsi="Calibri" w:cs="Calibri"/>
                <w:sz w:val="20"/>
                <w:szCs w:val="20"/>
                <w:lang w:eastAsia="en-US"/>
              </w:rPr>
              <w:t xml:space="preserve">Critique des externalités négatives pour la planète et la société que le système d’économie de marché </w:t>
            </w:r>
            <w:r w:rsidR="00EE33BE" w:rsidRPr="00D06EA3">
              <w:rPr>
                <w:rFonts w:ascii="Calibri" w:hAnsi="Calibri" w:cs="Calibri"/>
                <w:sz w:val="20"/>
                <w:szCs w:val="20"/>
                <w:lang w:eastAsia="en-US"/>
              </w:rPr>
              <w:t>n</w:t>
            </w:r>
            <w:r w:rsidR="00A26F1E" w:rsidRPr="00D06EA3">
              <w:rPr>
                <w:rFonts w:ascii="Calibri" w:hAnsi="Calibri" w:cs="Calibri"/>
                <w:sz w:val="20"/>
                <w:szCs w:val="20"/>
                <w:lang w:eastAsia="en-US"/>
              </w:rPr>
              <w:t>e peut pas ne pas produire =&gt; mise en évidence de la nécessité</w:t>
            </w:r>
            <w:r w:rsidRPr="00D06EA3">
              <w:rPr>
                <w:rFonts w:ascii="Calibri" w:hAnsi="Calibri" w:cs="Calibri"/>
                <w:sz w:val="20"/>
                <w:szCs w:val="20"/>
                <w:lang w:eastAsia="en-US"/>
              </w:rPr>
              <w:t xml:space="preserve"> </w:t>
            </w:r>
            <w:r w:rsidR="00A26F1E" w:rsidRPr="00D06EA3">
              <w:rPr>
                <w:rFonts w:ascii="Calibri" w:hAnsi="Calibri" w:cs="Calibri"/>
                <w:sz w:val="20"/>
                <w:szCs w:val="20"/>
                <w:lang w:eastAsia="en-US"/>
              </w:rPr>
              <w:t xml:space="preserve">d’une </w:t>
            </w:r>
            <w:r w:rsidRPr="00D06EA3">
              <w:rPr>
                <w:rFonts w:ascii="Calibri" w:hAnsi="Calibri" w:cs="Calibri"/>
                <w:sz w:val="20"/>
                <w:szCs w:val="20"/>
                <w:lang w:eastAsia="en-US"/>
              </w:rPr>
              <w:t>intervention publique pour corriger ces externalités.</w:t>
            </w:r>
          </w:p>
          <w:p w14:paraId="292242ED" w14:textId="301D894C" w:rsidR="002E6F03" w:rsidRPr="00D06EA3" w:rsidRDefault="002E6F03" w:rsidP="00636C31">
            <w:pPr>
              <w:jc w:val="both"/>
              <w:rPr>
                <w:sz w:val="20"/>
                <w:szCs w:val="20"/>
              </w:rPr>
            </w:pPr>
          </w:p>
          <w:p w14:paraId="0E778E39" w14:textId="5307A758" w:rsidR="00A26F1E" w:rsidRPr="00D06EA3" w:rsidRDefault="00A26F1E" w:rsidP="00636C31">
            <w:pPr>
              <w:jc w:val="both"/>
              <w:rPr>
                <w:sz w:val="20"/>
                <w:szCs w:val="20"/>
              </w:rPr>
            </w:pPr>
            <w:r w:rsidRPr="00D06EA3">
              <w:rPr>
                <w:sz w:val="20"/>
                <w:szCs w:val="20"/>
              </w:rPr>
              <w:t>Principaux défauts du document :</w:t>
            </w:r>
          </w:p>
          <w:p w14:paraId="7BAF60B2" w14:textId="4872F201" w:rsidR="00D75226" w:rsidRPr="00D06EA3" w:rsidRDefault="00D75226" w:rsidP="00A26F1E">
            <w:pPr>
              <w:pStyle w:val="Paragraphedeliste"/>
              <w:numPr>
                <w:ilvl w:val="0"/>
                <w:numId w:val="3"/>
              </w:numPr>
              <w:jc w:val="both"/>
              <w:rPr>
                <w:rFonts w:ascii="Calibri" w:hAnsi="Calibri" w:cs="Calibri"/>
                <w:sz w:val="20"/>
                <w:szCs w:val="20"/>
                <w:lang w:eastAsia="en-US"/>
              </w:rPr>
            </w:pPr>
            <w:r w:rsidRPr="00D06EA3">
              <w:rPr>
                <w:rFonts w:ascii="Calibri" w:hAnsi="Calibri" w:cs="Calibri"/>
                <w:sz w:val="20"/>
                <w:szCs w:val="20"/>
                <w:lang w:eastAsia="en-US"/>
              </w:rPr>
              <w:t>Mention fugace du revenu de transition écologique, sans en donner aucune définition (p. 9-10).</w:t>
            </w:r>
          </w:p>
          <w:p w14:paraId="121D8AB2" w14:textId="2AACE9FB" w:rsidR="00D75226" w:rsidRPr="00D06EA3" w:rsidRDefault="00D75226" w:rsidP="00A26F1E">
            <w:pPr>
              <w:pStyle w:val="Paragraphedeliste"/>
              <w:numPr>
                <w:ilvl w:val="0"/>
                <w:numId w:val="3"/>
              </w:numPr>
              <w:jc w:val="both"/>
              <w:rPr>
                <w:sz w:val="20"/>
                <w:szCs w:val="20"/>
              </w:rPr>
            </w:pPr>
            <w:r w:rsidRPr="00D06EA3">
              <w:rPr>
                <w:rFonts w:ascii="Calibri" w:hAnsi="Calibri" w:cs="Calibri"/>
                <w:sz w:val="20"/>
                <w:szCs w:val="20"/>
                <w:lang w:eastAsia="en-US"/>
              </w:rPr>
              <w:t>En outre, rien n’est dit sur le soutien à la création d’act</w:t>
            </w:r>
            <w:r w:rsidR="00EE33BE" w:rsidRPr="00D06EA3">
              <w:rPr>
                <w:rFonts w:ascii="Calibri" w:hAnsi="Calibri" w:cs="Calibri"/>
                <w:sz w:val="20"/>
                <w:szCs w:val="20"/>
                <w:lang w:eastAsia="en-US"/>
              </w:rPr>
              <w:t>ivités entrepreneuriales vertes =&gt; RTE</w:t>
            </w:r>
            <w:r w:rsidR="00E3143E" w:rsidRPr="00D06EA3">
              <w:rPr>
                <w:rFonts w:ascii="Calibri" w:hAnsi="Calibri" w:cs="Calibri"/>
                <w:sz w:val="20"/>
                <w:szCs w:val="20"/>
                <w:lang w:eastAsia="en-US"/>
              </w:rPr>
              <w:t xml:space="preserve"> uniquement pour se former et non pour entreprendre.</w:t>
            </w:r>
          </w:p>
        </w:tc>
      </w:tr>
      <w:tr w:rsidR="00961657" w14:paraId="0AD02709" w14:textId="77777777" w:rsidTr="00B84CD4">
        <w:tc>
          <w:tcPr>
            <w:tcW w:w="1408" w:type="dxa"/>
            <w:tcBorders>
              <w:top w:val="single" w:sz="8" w:space="0" w:color="auto"/>
              <w:left w:val="single" w:sz="8" w:space="0" w:color="auto"/>
              <w:bottom w:val="single" w:sz="8" w:space="0" w:color="auto"/>
              <w:right w:val="single" w:sz="8" w:space="0" w:color="auto"/>
            </w:tcBorders>
            <w:shd w:val="clear" w:color="auto" w:fill="76923C" w:themeFill="accent3" w:themeFillShade="BF"/>
            <w:tcMar>
              <w:top w:w="0" w:type="dxa"/>
              <w:left w:w="108" w:type="dxa"/>
              <w:bottom w:w="0" w:type="dxa"/>
              <w:right w:w="108" w:type="dxa"/>
            </w:tcMar>
            <w:hideMark/>
          </w:tcPr>
          <w:p w14:paraId="51B5CE17" w14:textId="77777777" w:rsidR="00961657" w:rsidRPr="00636C31" w:rsidRDefault="009556BA">
            <w:pPr>
              <w:rPr>
                <w:color w:val="FFFFFF" w:themeColor="background1"/>
                <w:sz w:val="18"/>
              </w:rPr>
            </w:pPr>
            <w:r w:rsidRPr="00636C31">
              <w:rPr>
                <w:color w:val="FFFFFF" w:themeColor="background1"/>
                <w:sz w:val="18"/>
              </w:rPr>
              <w:t>Références à d’autres documents importants</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029D6" w14:textId="77777777" w:rsidR="00961657" w:rsidRPr="00D06EA3" w:rsidRDefault="006A41FC" w:rsidP="00EE33BE">
            <w:pPr>
              <w:jc w:val="both"/>
              <w:rPr>
                <w:sz w:val="20"/>
                <w:szCs w:val="20"/>
              </w:rPr>
            </w:pPr>
            <w:r w:rsidRPr="00D06EA3">
              <w:rPr>
                <w:sz w:val="20"/>
                <w:szCs w:val="20"/>
              </w:rPr>
              <w:t>Travail.Suisse,</w:t>
            </w:r>
            <w:r w:rsidRPr="00D06EA3">
              <w:rPr>
                <w:i/>
                <w:sz w:val="20"/>
                <w:szCs w:val="20"/>
              </w:rPr>
              <w:t xml:space="preserve"> </w:t>
            </w:r>
            <w:r w:rsidR="00444F7A" w:rsidRPr="00D06EA3">
              <w:rPr>
                <w:i/>
                <w:sz w:val="20"/>
                <w:szCs w:val="20"/>
              </w:rPr>
              <w:t xml:space="preserve">Feuille de route pour une politique climatique </w:t>
            </w:r>
            <w:r w:rsidRPr="00D06EA3">
              <w:rPr>
                <w:i/>
                <w:sz w:val="20"/>
                <w:szCs w:val="20"/>
              </w:rPr>
              <w:t>basée sur la transition juste</w:t>
            </w:r>
            <w:r w:rsidRPr="00D06EA3">
              <w:rPr>
                <w:sz w:val="20"/>
                <w:szCs w:val="20"/>
              </w:rPr>
              <w:t xml:space="preserve">, </w:t>
            </w:r>
            <w:r w:rsidR="00444F7A" w:rsidRPr="00D06EA3">
              <w:rPr>
                <w:sz w:val="20"/>
                <w:szCs w:val="20"/>
              </w:rPr>
              <w:t>2020.</w:t>
            </w:r>
          </w:p>
          <w:p w14:paraId="6F41DCA4" w14:textId="77777777" w:rsidR="006A41FC" w:rsidRPr="00D06EA3" w:rsidRDefault="006A41FC" w:rsidP="00EE33BE">
            <w:pPr>
              <w:jc w:val="both"/>
              <w:rPr>
                <w:sz w:val="20"/>
                <w:szCs w:val="20"/>
              </w:rPr>
            </w:pPr>
          </w:p>
          <w:p w14:paraId="4CBA80FB" w14:textId="74B578BD" w:rsidR="006A41FC" w:rsidRPr="00D06EA3" w:rsidRDefault="006A41FC" w:rsidP="00EE33BE">
            <w:pPr>
              <w:jc w:val="both"/>
              <w:rPr>
                <w:sz w:val="20"/>
                <w:szCs w:val="20"/>
              </w:rPr>
            </w:pPr>
            <w:r w:rsidRPr="00D06EA3">
              <w:rPr>
                <w:sz w:val="20"/>
                <w:szCs w:val="20"/>
              </w:rPr>
              <w:t>OIT,</w:t>
            </w:r>
            <w:r w:rsidRPr="00D06EA3">
              <w:rPr>
                <w:i/>
                <w:sz w:val="20"/>
                <w:szCs w:val="20"/>
              </w:rPr>
              <w:t xml:space="preserve"> Principes direc</w:t>
            </w:r>
            <w:r w:rsidR="00EE33BE" w:rsidRPr="00D06EA3">
              <w:rPr>
                <w:i/>
                <w:sz w:val="20"/>
                <w:szCs w:val="20"/>
              </w:rPr>
              <w:t xml:space="preserve">teurs pour une transition juste </w:t>
            </w:r>
            <w:r w:rsidRPr="00D06EA3">
              <w:rPr>
                <w:i/>
                <w:sz w:val="20"/>
                <w:szCs w:val="20"/>
              </w:rPr>
              <w:t>vers des économies</w:t>
            </w:r>
            <w:r w:rsidR="00EE33BE" w:rsidRPr="00D06EA3">
              <w:rPr>
                <w:i/>
                <w:sz w:val="20"/>
                <w:szCs w:val="20"/>
              </w:rPr>
              <w:t xml:space="preserve"> et des sociétés écologiquement </w:t>
            </w:r>
            <w:r w:rsidRPr="00D06EA3">
              <w:rPr>
                <w:i/>
                <w:sz w:val="20"/>
                <w:szCs w:val="20"/>
              </w:rPr>
              <w:t>durables pour tous</w:t>
            </w:r>
            <w:r w:rsidRPr="00D06EA3">
              <w:rPr>
                <w:sz w:val="20"/>
                <w:szCs w:val="20"/>
              </w:rPr>
              <w:t>, 2015.</w:t>
            </w:r>
          </w:p>
          <w:p w14:paraId="29F2EB56" w14:textId="77777777" w:rsidR="00036221" w:rsidRPr="00D06EA3" w:rsidRDefault="00036221" w:rsidP="00EE33BE">
            <w:pPr>
              <w:jc w:val="both"/>
              <w:rPr>
                <w:sz w:val="20"/>
                <w:szCs w:val="20"/>
              </w:rPr>
            </w:pPr>
          </w:p>
          <w:p w14:paraId="673B0706" w14:textId="77777777" w:rsidR="00036221" w:rsidRPr="00D06EA3" w:rsidRDefault="00036221" w:rsidP="00EE33BE">
            <w:pPr>
              <w:jc w:val="both"/>
              <w:rPr>
                <w:sz w:val="20"/>
                <w:szCs w:val="20"/>
              </w:rPr>
            </w:pPr>
            <w:r w:rsidRPr="00D06EA3">
              <w:rPr>
                <w:sz w:val="20"/>
                <w:szCs w:val="20"/>
              </w:rPr>
              <w:t xml:space="preserve">Office fédéral de l’environnement en collaboration avec le Secrétariat d’État aux questions financières internationales, </w:t>
            </w:r>
            <w:r w:rsidRPr="00D06EA3">
              <w:rPr>
                <w:i/>
                <w:sz w:val="20"/>
                <w:szCs w:val="20"/>
              </w:rPr>
              <w:t>Le marché financier suisse sous la loupe climatique</w:t>
            </w:r>
            <w:r w:rsidRPr="00D06EA3">
              <w:rPr>
                <w:sz w:val="20"/>
                <w:szCs w:val="20"/>
              </w:rPr>
              <w:t xml:space="preserve">, 2020. </w:t>
            </w:r>
          </w:p>
          <w:p w14:paraId="5E8967A4" w14:textId="77777777" w:rsidR="00825D32" w:rsidRPr="00D06EA3" w:rsidRDefault="00825D32" w:rsidP="00EE33BE">
            <w:pPr>
              <w:jc w:val="both"/>
              <w:rPr>
                <w:sz w:val="20"/>
                <w:szCs w:val="20"/>
              </w:rPr>
            </w:pPr>
          </w:p>
          <w:p w14:paraId="2A6E9AA4" w14:textId="77777777" w:rsidR="00825D32" w:rsidRPr="00D06EA3" w:rsidRDefault="00825D32" w:rsidP="00EE33BE">
            <w:pPr>
              <w:jc w:val="both"/>
              <w:rPr>
                <w:sz w:val="20"/>
                <w:szCs w:val="20"/>
              </w:rPr>
            </w:pPr>
            <w:r w:rsidRPr="00D06EA3">
              <w:rPr>
                <w:sz w:val="20"/>
                <w:szCs w:val="20"/>
              </w:rPr>
              <w:t xml:space="preserve">Commission européenne, </w:t>
            </w:r>
            <w:r w:rsidRPr="00D06EA3">
              <w:rPr>
                <w:i/>
                <w:sz w:val="20"/>
                <w:szCs w:val="20"/>
              </w:rPr>
              <w:t>Un nouveau plan d’action pour une économie circulaire. Pour une Europe plus propre et plus compétitive</w:t>
            </w:r>
            <w:r w:rsidRPr="00D06EA3">
              <w:rPr>
                <w:sz w:val="20"/>
                <w:szCs w:val="20"/>
              </w:rPr>
              <w:t xml:space="preserve">, mars 2020.  </w:t>
            </w:r>
          </w:p>
          <w:p w14:paraId="63B44798" w14:textId="77777777" w:rsidR="00F114E4" w:rsidRPr="00D06EA3" w:rsidRDefault="00F114E4" w:rsidP="00EE33BE">
            <w:pPr>
              <w:jc w:val="both"/>
              <w:rPr>
                <w:sz w:val="20"/>
                <w:szCs w:val="20"/>
              </w:rPr>
            </w:pPr>
          </w:p>
          <w:p w14:paraId="753A2C10" w14:textId="77777777" w:rsidR="00F114E4" w:rsidRPr="00D06EA3" w:rsidRDefault="00F114E4" w:rsidP="00EE33BE">
            <w:pPr>
              <w:jc w:val="both"/>
              <w:rPr>
                <w:sz w:val="20"/>
                <w:szCs w:val="20"/>
              </w:rPr>
            </w:pPr>
            <w:r w:rsidRPr="00D06EA3">
              <w:rPr>
                <w:sz w:val="20"/>
                <w:szCs w:val="20"/>
              </w:rPr>
              <w:t xml:space="preserve">ICF GHK, </w:t>
            </w:r>
            <w:proofErr w:type="spellStart"/>
            <w:r w:rsidRPr="00D06EA3">
              <w:rPr>
                <w:i/>
                <w:sz w:val="20"/>
                <w:szCs w:val="20"/>
              </w:rPr>
              <w:t>Skills</w:t>
            </w:r>
            <w:proofErr w:type="spellEnd"/>
            <w:r w:rsidRPr="00D06EA3">
              <w:rPr>
                <w:i/>
                <w:sz w:val="20"/>
                <w:szCs w:val="20"/>
              </w:rPr>
              <w:t xml:space="preserve"> </w:t>
            </w:r>
            <w:proofErr w:type="spellStart"/>
            <w:r w:rsidRPr="00D06EA3">
              <w:rPr>
                <w:i/>
                <w:sz w:val="20"/>
                <w:szCs w:val="20"/>
              </w:rPr>
              <w:t>needs</w:t>
            </w:r>
            <w:proofErr w:type="spellEnd"/>
            <w:r w:rsidRPr="00D06EA3">
              <w:rPr>
                <w:i/>
                <w:sz w:val="20"/>
                <w:szCs w:val="20"/>
              </w:rPr>
              <w:t xml:space="preserve"> in </w:t>
            </w:r>
            <w:proofErr w:type="spellStart"/>
            <w:r w:rsidRPr="00D06EA3">
              <w:rPr>
                <w:i/>
                <w:sz w:val="20"/>
                <w:szCs w:val="20"/>
              </w:rPr>
              <w:t>greening</w:t>
            </w:r>
            <w:proofErr w:type="spellEnd"/>
            <w:r w:rsidRPr="00D06EA3">
              <w:rPr>
                <w:i/>
                <w:sz w:val="20"/>
                <w:szCs w:val="20"/>
              </w:rPr>
              <w:t xml:space="preserve"> </w:t>
            </w:r>
            <w:proofErr w:type="spellStart"/>
            <w:r w:rsidRPr="00D06EA3">
              <w:rPr>
                <w:i/>
                <w:sz w:val="20"/>
                <w:szCs w:val="20"/>
              </w:rPr>
              <w:t>economies</w:t>
            </w:r>
            <w:proofErr w:type="spellEnd"/>
            <w:r w:rsidRPr="00D06EA3">
              <w:rPr>
                <w:sz w:val="20"/>
                <w:szCs w:val="20"/>
              </w:rPr>
              <w:t xml:space="preserve">, ETUC, </w:t>
            </w:r>
            <w:proofErr w:type="spellStart"/>
            <w:r w:rsidRPr="00D06EA3">
              <w:rPr>
                <w:sz w:val="20"/>
                <w:szCs w:val="20"/>
              </w:rPr>
              <w:t>BusinessEurope</w:t>
            </w:r>
            <w:proofErr w:type="spellEnd"/>
            <w:r w:rsidRPr="00D06EA3">
              <w:rPr>
                <w:sz w:val="20"/>
                <w:szCs w:val="20"/>
              </w:rPr>
              <w:t>, CEEP, UEAPME, Final Report, 31 Jan-</w:t>
            </w:r>
            <w:proofErr w:type="spellStart"/>
            <w:r w:rsidRPr="00D06EA3">
              <w:rPr>
                <w:sz w:val="20"/>
                <w:szCs w:val="20"/>
              </w:rPr>
              <w:t>uary</w:t>
            </w:r>
            <w:proofErr w:type="spellEnd"/>
            <w:r w:rsidRPr="00D06EA3">
              <w:rPr>
                <w:sz w:val="20"/>
                <w:szCs w:val="20"/>
              </w:rPr>
              <w:t xml:space="preserve">, Brussels, 2014.  </w:t>
            </w:r>
          </w:p>
          <w:p w14:paraId="75B0DB9A" w14:textId="77777777" w:rsidR="00687F21" w:rsidRPr="00D06EA3" w:rsidRDefault="00687F21" w:rsidP="00EE33BE">
            <w:pPr>
              <w:jc w:val="both"/>
              <w:rPr>
                <w:sz w:val="20"/>
                <w:szCs w:val="20"/>
              </w:rPr>
            </w:pPr>
          </w:p>
          <w:p w14:paraId="176F3883" w14:textId="1E2A828E" w:rsidR="00687F21" w:rsidRPr="00D06EA3" w:rsidRDefault="00687F21" w:rsidP="00EE33BE">
            <w:pPr>
              <w:pStyle w:val="Titre2"/>
              <w:jc w:val="both"/>
              <w:rPr>
                <w:rFonts w:ascii="Calibri" w:eastAsiaTheme="minorHAnsi" w:hAnsi="Calibri" w:cs="Calibri"/>
                <w:color w:val="auto"/>
                <w:sz w:val="20"/>
                <w:szCs w:val="20"/>
              </w:rPr>
            </w:pPr>
            <w:proofErr w:type="spellStart"/>
            <w:r w:rsidRPr="00D06EA3">
              <w:rPr>
                <w:rFonts w:ascii="Calibri" w:eastAsiaTheme="minorHAnsi" w:hAnsi="Calibri" w:cs="Calibri"/>
                <w:color w:val="auto"/>
                <w:sz w:val="20"/>
                <w:szCs w:val="20"/>
              </w:rPr>
              <w:t>Porchet</w:t>
            </w:r>
            <w:proofErr w:type="spellEnd"/>
            <w:r w:rsidRPr="00D06EA3">
              <w:rPr>
                <w:rFonts w:ascii="Calibri" w:eastAsiaTheme="minorHAnsi" w:hAnsi="Calibri" w:cs="Calibri"/>
                <w:color w:val="auto"/>
                <w:sz w:val="20"/>
                <w:szCs w:val="20"/>
              </w:rPr>
              <w:t>, Léonore, Motion au Conseil national « Prévoyance de réorientation écologique professionnelle », décembre 2020.</w:t>
            </w:r>
          </w:p>
          <w:p w14:paraId="5859DF16" w14:textId="5A7C46F3" w:rsidR="00687F21" w:rsidRPr="00D06EA3" w:rsidRDefault="00687F21" w:rsidP="00B84CD4">
            <w:pPr>
              <w:rPr>
                <w:sz w:val="20"/>
                <w:szCs w:val="20"/>
              </w:rPr>
            </w:pPr>
          </w:p>
        </w:tc>
      </w:tr>
    </w:tbl>
    <w:p w14:paraId="6E764827" w14:textId="77777777" w:rsidR="00961657" w:rsidRDefault="00961657" w:rsidP="00961657">
      <w:pPr>
        <w:rPr>
          <w:color w:val="1F497D"/>
        </w:rPr>
      </w:pPr>
    </w:p>
    <w:p w14:paraId="4ABAEFBC" w14:textId="77777777" w:rsidR="00957865" w:rsidRDefault="00957865"/>
    <w:sectPr w:rsidR="0095786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CC9A7" w14:textId="77777777" w:rsidR="00011629" w:rsidRDefault="00011629" w:rsidP="00F0296F">
      <w:r>
        <w:separator/>
      </w:r>
    </w:p>
  </w:endnote>
  <w:endnote w:type="continuationSeparator" w:id="0">
    <w:p w14:paraId="30EF8C62" w14:textId="77777777" w:rsidR="00011629" w:rsidRDefault="00011629" w:rsidP="00F02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6B276" w14:textId="77777777" w:rsidR="00011629" w:rsidRDefault="00011629" w:rsidP="00F0296F">
      <w:r>
        <w:separator/>
      </w:r>
    </w:p>
  </w:footnote>
  <w:footnote w:type="continuationSeparator" w:id="0">
    <w:p w14:paraId="2963D5FF" w14:textId="77777777" w:rsidR="00011629" w:rsidRDefault="00011629" w:rsidP="00F02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F74FE" w14:textId="77777777" w:rsidR="00F0296F" w:rsidRPr="007048A0" w:rsidRDefault="00CE5FAE" w:rsidP="007048A0">
    <w:pPr>
      <w:pStyle w:val="En-tte"/>
      <w:jc w:val="center"/>
      <w:rPr>
        <w:b/>
        <w:color w:val="76923C" w:themeColor="accent3" w:themeShade="BF"/>
      </w:rPr>
    </w:pPr>
    <w:sdt>
      <w:sdtPr>
        <w:rPr>
          <w:b/>
          <w:color w:val="76923C" w:themeColor="accent3" w:themeShade="BF"/>
        </w:rPr>
        <w:id w:val="473412542"/>
        <w:docPartObj>
          <w:docPartGallery w:val="Page Numbers (Margins)"/>
          <w:docPartUnique/>
        </w:docPartObj>
      </w:sdtPr>
      <w:sdtEndPr/>
      <w:sdtContent>
        <w:r w:rsidR="00F0296F" w:rsidRPr="007048A0">
          <w:rPr>
            <w:b/>
            <w:noProof/>
            <w:color w:val="76923C" w:themeColor="accent3" w:themeShade="BF"/>
            <w:lang w:eastAsia="fr-CH"/>
          </w:rPr>
          <mc:AlternateContent>
            <mc:Choice Requires="wps">
              <w:drawing>
                <wp:anchor distT="0" distB="0" distL="114300" distR="114300" simplePos="0" relativeHeight="251659264" behindDoc="0" locked="0" layoutInCell="0" allowOverlap="1" wp14:anchorId="75E35508" wp14:editId="2D420A5F">
                  <wp:simplePos x="0" y="0"/>
                  <wp:positionH relativeFrom="rightMargin">
                    <wp:align>center</wp:align>
                  </wp:positionH>
                  <wp:positionV relativeFrom="page">
                    <wp:align>center</wp:align>
                  </wp:positionV>
                  <wp:extent cx="762000" cy="895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99498BB" w14:textId="177ABF88" w:rsidR="00F0296F" w:rsidRDefault="00F0296F">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D06EA3" w:rsidRPr="00D06EA3">
                                    <w:rPr>
                                      <w:rFonts w:asciiTheme="majorHAnsi" w:eastAsiaTheme="majorEastAsia" w:hAnsiTheme="majorHAnsi" w:cstheme="majorBidi"/>
                                      <w:noProof/>
                                      <w:sz w:val="48"/>
                                      <w:szCs w:val="48"/>
                                      <w:lang w:val="fr-FR"/>
                                    </w:rPr>
                                    <w:t>4</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35508" id="Rectangle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hEk+nYICAAAF&#10;BQAADgAAAAAAAAAAAAAAAAAuAgAAZHJzL2Uyb0RvYy54bWxQSwECLQAUAAYACAAAACEAbNUf09kA&#10;AAAFAQAADwAAAAAAAAAAAAAAAADcBAAAZHJzL2Rvd25yZXYueG1sUEsFBgAAAAAEAAQA8wAAAOIF&#10;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599498BB" w14:textId="177ABF88" w:rsidR="00F0296F" w:rsidRDefault="00F0296F">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D06EA3" w:rsidRPr="00D06EA3">
                              <w:rPr>
                                <w:rFonts w:asciiTheme="majorHAnsi" w:eastAsiaTheme="majorEastAsia" w:hAnsiTheme="majorHAnsi" w:cstheme="majorBidi"/>
                                <w:noProof/>
                                <w:sz w:val="48"/>
                                <w:szCs w:val="48"/>
                                <w:lang w:val="fr-FR"/>
                              </w:rPr>
                              <w:t>4</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7048A0" w:rsidRPr="007048A0">
      <w:rPr>
        <w:b/>
        <w:color w:val="76923C" w:themeColor="accent3" w:themeShade="BF"/>
      </w:rPr>
      <w:t>Un revenu de transition écologique à Genève : phase préliminaire</w:t>
    </w:r>
  </w:p>
  <w:p w14:paraId="29382CC3" w14:textId="77777777" w:rsidR="007048A0" w:rsidRPr="007048A0" w:rsidRDefault="007048A0" w:rsidP="007048A0">
    <w:pPr>
      <w:pStyle w:val="En-tte"/>
      <w:jc w:val="center"/>
      <w:rPr>
        <w:b/>
        <w:color w:val="76923C" w:themeColor="accent3" w:themeShade="BF"/>
      </w:rPr>
    </w:pPr>
    <w:r w:rsidRPr="007048A0">
      <w:rPr>
        <w:b/>
        <w:color w:val="76923C" w:themeColor="accent3" w:themeShade="BF"/>
      </w:rPr>
      <w:t>Lecture et synthèse de documents – plans cantonaux</w:t>
    </w:r>
  </w:p>
  <w:p w14:paraId="6B19EB4F" w14:textId="77777777" w:rsidR="007048A0" w:rsidRDefault="007048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01A"/>
    <w:multiLevelType w:val="hybridMultilevel"/>
    <w:tmpl w:val="97DA1CA2"/>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 w15:restartNumberingAfterBreak="0">
    <w:nsid w:val="11B0438A"/>
    <w:multiLevelType w:val="hybridMultilevel"/>
    <w:tmpl w:val="9E4EA6E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37C3C63"/>
    <w:multiLevelType w:val="hybridMultilevel"/>
    <w:tmpl w:val="CD9A37B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88F691F"/>
    <w:multiLevelType w:val="hybridMultilevel"/>
    <w:tmpl w:val="4C34FCE0"/>
    <w:lvl w:ilvl="0" w:tplc="100C0001">
      <w:start w:val="1"/>
      <w:numFmt w:val="bullet"/>
      <w:lvlText w:val=""/>
      <w:lvlJc w:val="left"/>
      <w:pPr>
        <w:ind w:left="1068" w:hanging="360"/>
      </w:pPr>
      <w:rPr>
        <w:rFonts w:ascii="Symbol" w:hAnsi="Symbol"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4" w15:restartNumberingAfterBreak="0">
    <w:nsid w:val="1A613E92"/>
    <w:multiLevelType w:val="hybridMultilevel"/>
    <w:tmpl w:val="E37CB7D4"/>
    <w:lvl w:ilvl="0" w:tplc="CD468BE2">
      <w:start w:val="5"/>
      <w:numFmt w:val="bullet"/>
      <w:lvlText w:val="-"/>
      <w:lvlJc w:val="left"/>
      <w:pPr>
        <w:ind w:left="720" w:hanging="360"/>
      </w:pPr>
      <w:rPr>
        <w:rFonts w:ascii="Calibri" w:eastAsia="Calibri"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2C101B67"/>
    <w:multiLevelType w:val="hybridMultilevel"/>
    <w:tmpl w:val="F292857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E1D326B"/>
    <w:multiLevelType w:val="hybridMultilevel"/>
    <w:tmpl w:val="8D94020E"/>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01B2AC7"/>
    <w:multiLevelType w:val="hybridMultilevel"/>
    <w:tmpl w:val="D2021674"/>
    <w:lvl w:ilvl="0" w:tplc="ED068FD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2"/>
  </w:num>
  <w:num w:numId="6">
    <w:abstractNumId w:val="0"/>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657"/>
    <w:rsid w:val="00002CE2"/>
    <w:rsid w:val="000068C0"/>
    <w:rsid w:val="00011629"/>
    <w:rsid w:val="00036221"/>
    <w:rsid w:val="000A7F74"/>
    <w:rsid w:val="000B193C"/>
    <w:rsid w:val="00114832"/>
    <w:rsid w:val="00134C1B"/>
    <w:rsid w:val="00141B88"/>
    <w:rsid w:val="00164E77"/>
    <w:rsid w:val="00176E4B"/>
    <w:rsid w:val="0018329D"/>
    <w:rsid w:val="00184C37"/>
    <w:rsid w:val="00190D16"/>
    <w:rsid w:val="001D6A2D"/>
    <w:rsid w:val="001E79FC"/>
    <w:rsid w:val="00204CAB"/>
    <w:rsid w:val="0024698B"/>
    <w:rsid w:val="002573AB"/>
    <w:rsid w:val="002D1C1C"/>
    <w:rsid w:val="002E6F03"/>
    <w:rsid w:val="00303BCB"/>
    <w:rsid w:val="0032282B"/>
    <w:rsid w:val="0034080E"/>
    <w:rsid w:val="00381959"/>
    <w:rsid w:val="003A3625"/>
    <w:rsid w:val="003B71E5"/>
    <w:rsid w:val="003C15FF"/>
    <w:rsid w:val="003E5405"/>
    <w:rsid w:val="00417A79"/>
    <w:rsid w:val="004313D3"/>
    <w:rsid w:val="00431869"/>
    <w:rsid w:val="00443171"/>
    <w:rsid w:val="00444F7A"/>
    <w:rsid w:val="0045084B"/>
    <w:rsid w:val="00464D1A"/>
    <w:rsid w:val="00465385"/>
    <w:rsid w:val="00476F05"/>
    <w:rsid w:val="004A55CF"/>
    <w:rsid w:val="004B2EA7"/>
    <w:rsid w:val="004C43C6"/>
    <w:rsid w:val="004C5174"/>
    <w:rsid w:val="004D353B"/>
    <w:rsid w:val="004D553B"/>
    <w:rsid w:val="004D733B"/>
    <w:rsid w:val="005204BA"/>
    <w:rsid w:val="00554850"/>
    <w:rsid w:val="00573AC8"/>
    <w:rsid w:val="005A073A"/>
    <w:rsid w:val="005C7D2D"/>
    <w:rsid w:val="005D6D9F"/>
    <w:rsid w:val="005F312D"/>
    <w:rsid w:val="006056CD"/>
    <w:rsid w:val="006057CE"/>
    <w:rsid w:val="006212AD"/>
    <w:rsid w:val="006221B2"/>
    <w:rsid w:val="00636C31"/>
    <w:rsid w:val="006670B3"/>
    <w:rsid w:val="00687806"/>
    <w:rsid w:val="006878DA"/>
    <w:rsid w:val="00687F21"/>
    <w:rsid w:val="006930F0"/>
    <w:rsid w:val="0069725D"/>
    <w:rsid w:val="006A41FC"/>
    <w:rsid w:val="006B0B39"/>
    <w:rsid w:val="006B40D3"/>
    <w:rsid w:val="007048A0"/>
    <w:rsid w:val="007158B0"/>
    <w:rsid w:val="00740DE7"/>
    <w:rsid w:val="00751076"/>
    <w:rsid w:val="00776A20"/>
    <w:rsid w:val="0078032D"/>
    <w:rsid w:val="00782BCB"/>
    <w:rsid w:val="007A23AA"/>
    <w:rsid w:val="007B226F"/>
    <w:rsid w:val="007C2904"/>
    <w:rsid w:val="007C3386"/>
    <w:rsid w:val="00825D32"/>
    <w:rsid w:val="00844C29"/>
    <w:rsid w:val="00862E28"/>
    <w:rsid w:val="008769EC"/>
    <w:rsid w:val="00876BAD"/>
    <w:rsid w:val="008978C8"/>
    <w:rsid w:val="008A1C45"/>
    <w:rsid w:val="008A471A"/>
    <w:rsid w:val="008C0BA3"/>
    <w:rsid w:val="009556BA"/>
    <w:rsid w:val="00955BE8"/>
    <w:rsid w:val="00957865"/>
    <w:rsid w:val="00961657"/>
    <w:rsid w:val="009675D5"/>
    <w:rsid w:val="009859C8"/>
    <w:rsid w:val="00990290"/>
    <w:rsid w:val="009F508A"/>
    <w:rsid w:val="00A26F1E"/>
    <w:rsid w:val="00A37A5C"/>
    <w:rsid w:val="00A45973"/>
    <w:rsid w:val="00A45F81"/>
    <w:rsid w:val="00A66E41"/>
    <w:rsid w:val="00A871EB"/>
    <w:rsid w:val="00A87322"/>
    <w:rsid w:val="00AB7C26"/>
    <w:rsid w:val="00AD05E2"/>
    <w:rsid w:val="00AE0161"/>
    <w:rsid w:val="00AE2CDA"/>
    <w:rsid w:val="00B02E39"/>
    <w:rsid w:val="00B06242"/>
    <w:rsid w:val="00B13FB3"/>
    <w:rsid w:val="00B24BE7"/>
    <w:rsid w:val="00B46FFC"/>
    <w:rsid w:val="00B76218"/>
    <w:rsid w:val="00B77528"/>
    <w:rsid w:val="00B84CD4"/>
    <w:rsid w:val="00BA06E8"/>
    <w:rsid w:val="00BA0A6E"/>
    <w:rsid w:val="00BE7C98"/>
    <w:rsid w:val="00C04C25"/>
    <w:rsid w:val="00C079DF"/>
    <w:rsid w:val="00C14AAF"/>
    <w:rsid w:val="00C220CB"/>
    <w:rsid w:val="00C53453"/>
    <w:rsid w:val="00C70939"/>
    <w:rsid w:val="00C80159"/>
    <w:rsid w:val="00C944ED"/>
    <w:rsid w:val="00CA6C33"/>
    <w:rsid w:val="00CD11D0"/>
    <w:rsid w:val="00CD2825"/>
    <w:rsid w:val="00CD2C83"/>
    <w:rsid w:val="00CE5FAE"/>
    <w:rsid w:val="00CF0CCD"/>
    <w:rsid w:val="00CF3505"/>
    <w:rsid w:val="00CF60B7"/>
    <w:rsid w:val="00D06EA3"/>
    <w:rsid w:val="00D75226"/>
    <w:rsid w:val="00DE51CF"/>
    <w:rsid w:val="00DF04BA"/>
    <w:rsid w:val="00E26B5F"/>
    <w:rsid w:val="00E3143E"/>
    <w:rsid w:val="00E80909"/>
    <w:rsid w:val="00E8780C"/>
    <w:rsid w:val="00E93099"/>
    <w:rsid w:val="00EA3670"/>
    <w:rsid w:val="00EC37C3"/>
    <w:rsid w:val="00ED52AC"/>
    <w:rsid w:val="00EE33BE"/>
    <w:rsid w:val="00F0296F"/>
    <w:rsid w:val="00F114E4"/>
    <w:rsid w:val="00F36D45"/>
    <w:rsid w:val="00F906EE"/>
    <w:rsid w:val="00FB32C8"/>
    <w:rsid w:val="00FD6F9A"/>
    <w:rsid w:val="00FF26D7"/>
    <w:rsid w:val="00FF4C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8071DB"/>
  <w15:chartTrackingRefBased/>
  <w15:docId w15:val="{266EEB0A-CC36-408C-BBFF-E5903480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657"/>
    <w:pPr>
      <w:spacing w:line="240" w:lineRule="auto"/>
    </w:pPr>
    <w:rPr>
      <w:rFonts w:ascii="Calibri" w:hAnsi="Calibri" w:cs="Calibri"/>
    </w:rPr>
  </w:style>
  <w:style w:type="paragraph" w:styleId="Titre1">
    <w:name w:val="heading 1"/>
    <w:basedOn w:val="Normal"/>
    <w:next w:val="Normal"/>
    <w:link w:val="Titre1Car"/>
    <w:uiPriority w:val="9"/>
    <w:qFormat/>
    <w:rsid w:val="006B0B3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6B0B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6B0B3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2469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296F"/>
    <w:pPr>
      <w:tabs>
        <w:tab w:val="center" w:pos="4536"/>
        <w:tab w:val="right" w:pos="9072"/>
      </w:tabs>
    </w:pPr>
  </w:style>
  <w:style w:type="character" w:customStyle="1" w:styleId="En-tteCar">
    <w:name w:val="En-tête Car"/>
    <w:basedOn w:val="Policepardfaut"/>
    <w:link w:val="En-tte"/>
    <w:uiPriority w:val="99"/>
    <w:rsid w:val="00F0296F"/>
    <w:rPr>
      <w:rFonts w:ascii="Calibri" w:hAnsi="Calibri" w:cs="Calibri"/>
    </w:rPr>
  </w:style>
  <w:style w:type="paragraph" w:styleId="Pieddepage">
    <w:name w:val="footer"/>
    <w:basedOn w:val="Normal"/>
    <w:link w:val="PieddepageCar"/>
    <w:uiPriority w:val="99"/>
    <w:unhideWhenUsed/>
    <w:rsid w:val="00F0296F"/>
    <w:pPr>
      <w:tabs>
        <w:tab w:val="center" w:pos="4536"/>
        <w:tab w:val="right" w:pos="9072"/>
      </w:tabs>
    </w:pPr>
  </w:style>
  <w:style w:type="character" w:customStyle="1" w:styleId="PieddepageCar">
    <w:name w:val="Pied de page Car"/>
    <w:basedOn w:val="Policepardfaut"/>
    <w:link w:val="Pieddepage"/>
    <w:uiPriority w:val="99"/>
    <w:rsid w:val="00F0296F"/>
    <w:rPr>
      <w:rFonts w:ascii="Calibri" w:hAnsi="Calibri" w:cs="Calibri"/>
    </w:rPr>
  </w:style>
  <w:style w:type="paragraph" w:styleId="Paragraphedeliste">
    <w:name w:val="List Paragraph"/>
    <w:basedOn w:val="Normal"/>
    <w:uiPriority w:val="34"/>
    <w:qFormat/>
    <w:rsid w:val="007048A0"/>
    <w:pPr>
      <w:ind w:left="720"/>
      <w:contextualSpacing/>
    </w:pPr>
    <w:rPr>
      <w:rFonts w:ascii="Times New Roman" w:hAnsi="Times New Roman" w:cs="Times New Roman"/>
      <w:sz w:val="24"/>
      <w:szCs w:val="24"/>
      <w:lang w:eastAsia="fr-CH"/>
    </w:rPr>
  </w:style>
  <w:style w:type="paragraph" w:customStyle="1" w:styleId="Default">
    <w:name w:val="Default"/>
    <w:rsid w:val="00AB7C26"/>
    <w:pPr>
      <w:autoSpaceDE w:val="0"/>
      <w:autoSpaceDN w:val="0"/>
      <w:adjustRightInd w:val="0"/>
      <w:spacing w:line="240" w:lineRule="auto"/>
    </w:pPr>
    <w:rPr>
      <w:rFonts w:ascii="Arial" w:hAnsi="Arial" w:cs="Arial"/>
      <w:color w:val="000000"/>
      <w:sz w:val="24"/>
      <w:szCs w:val="24"/>
    </w:rPr>
  </w:style>
  <w:style w:type="character" w:customStyle="1" w:styleId="markedcontent">
    <w:name w:val="markedcontent"/>
    <w:basedOn w:val="Policepardfaut"/>
    <w:rsid w:val="006A41FC"/>
  </w:style>
  <w:style w:type="character" w:styleId="lev">
    <w:name w:val="Strong"/>
    <w:basedOn w:val="Policepardfaut"/>
    <w:uiPriority w:val="22"/>
    <w:qFormat/>
    <w:rsid w:val="00E26B5F"/>
    <w:rPr>
      <w:b/>
      <w:bCs/>
    </w:rPr>
  </w:style>
  <w:style w:type="character" w:styleId="Lienhypertexte">
    <w:name w:val="Hyperlink"/>
    <w:basedOn w:val="Policepardfaut"/>
    <w:uiPriority w:val="99"/>
    <w:semiHidden/>
    <w:unhideWhenUsed/>
    <w:rsid w:val="00E26B5F"/>
    <w:rPr>
      <w:color w:val="0000FF"/>
      <w:u w:val="single"/>
    </w:rPr>
  </w:style>
  <w:style w:type="character" w:styleId="Marquedecommentaire">
    <w:name w:val="annotation reference"/>
    <w:basedOn w:val="Policepardfaut"/>
    <w:uiPriority w:val="99"/>
    <w:semiHidden/>
    <w:unhideWhenUsed/>
    <w:rsid w:val="00B24BE7"/>
    <w:rPr>
      <w:sz w:val="16"/>
      <w:szCs w:val="16"/>
    </w:rPr>
  </w:style>
  <w:style w:type="paragraph" w:styleId="Commentaire">
    <w:name w:val="annotation text"/>
    <w:basedOn w:val="Normal"/>
    <w:link w:val="CommentaireCar"/>
    <w:uiPriority w:val="99"/>
    <w:semiHidden/>
    <w:unhideWhenUsed/>
    <w:rsid w:val="00B24BE7"/>
    <w:rPr>
      <w:sz w:val="20"/>
      <w:szCs w:val="20"/>
    </w:rPr>
  </w:style>
  <w:style w:type="character" w:customStyle="1" w:styleId="CommentaireCar">
    <w:name w:val="Commentaire Car"/>
    <w:basedOn w:val="Policepardfaut"/>
    <w:link w:val="Commentaire"/>
    <w:uiPriority w:val="99"/>
    <w:semiHidden/>
    <w:rsid w:val="00B24BE7"/>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B24BE7"/>
    <w:rPr>
      <w:b/>
      <w:bCs/>
    </w:rPr>
  </w:style>
  <w:style w:type="character" w:customStyle="1" w:styleId="ObjetducommentaireCar">
    <w:name w:val="Objet du commentaire Car"/>
    <w:basedOn w:val="CommentaireCar"/>
    <w:link w:val="Objetducommentaire"/>
    <w:uiPriority w:val="99"/>
    <w:semiHidden/>
    <w:rsid w:val="00B24BE7"/>
    <w:rPr>
      <w:rFonts w:ascii="Calibri" w:hAnsi="Calibri" w:cs="Calibri"/>
      <w:b/>
      <w:bCs/>
      <w:sz w:val="20"/>
      <w:szCs w:val="20"/>
    </w:rPr>
  </w:style>
  <w:style w:type="paragraph" w:styleId="Textedebulles">
    <w:name w:val="Balloon Text"/>
    <w:basedOn w:val="Normal"/>
    <w:link w:val="TextedebullesCar"/>
    <w:uiPriority w:val="99"/>
    <w:semiHidden/>
    <w:unhideWhenUsed/>
    <w:rsid w:val="00B24B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4BE7"/>
    <w:rPr>
      <w:rFonts w:ascii="Segoe UI" w:hAnsi="Segoe UI" w:cs="Segoe UI"/>
      <w:sz w:val="18"/>
      <w:szCs w:val="18"/>
    </w:rPr>
  </w:style>
  <w:style w:type="character" w:customStyle="1" w:styleId="Titre1Car">
    <w:name w:val="Titre 1 Car"/>
    <w:basedOn w:val="Policepardfaut"/>
    <w:link w:val="Titre1"/>
    <w:uiPriority w:val="9"/>
    <w:rsid w:val="006B0B39"/>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6B0B39"/>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6B0B39"/>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24698B"/>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86958">
      <w:bodyDiv w:val="1"/>
      <w:marLeft w:val="0"/>
      <w:marRight w:val="0"/>
      <w:marTop w:val="0"/>
      <w:marBottom w:val="0"/>
      <w:divBdr>
        <w:top w:val="none" w:sz="0" w:space="0" w:color="auto"/>
        <w:left w:val="none" w:sz="0" w:space="0" w:color="auto"/>
        <w:bottom w:val="none" w:sz="0" w:space="0" w:color="auto"/>
        <w:right w:val="none" w:sz="0" w:space="0" w:color="auto"/>
      </w:divBdr>
    </w:div>
    <w:div w:id="316425574">
      <w:bodyDiv w:val="1"/>
      <w:marLeft w:val="0"/>
      <w:marRight w:val="0"/>
      <w:marTop w:val="0"/>
      <w:marBottom w:val="0"/>
      <w:divBdr>
        <w:top w:val="none" w:sz="0" w:space="0" w:color="auto"/>
        <w:left w:val="none" w:sz="0" w:space="0" w:color="auto"/>
        <w:bottom w:val="none" w:sz="0" w:space="0" w:color="auto"/>
        <w:right w:val="none" w:sz="0" w:space="0" w:color="auto"/>
      </w:divBdr>
    </w:div>
    <w:div w:id="378668397">
      <w:bodyDiv w:val="1"/>
      <w:marLeft w:val="0"/>
      <w:marRight w:val="0"/>
      <w:marTop w:val="0"/>
      <w:marBottom w:val="0"/>
      <w:divBdr>
        <w:top w:val="none" w:sz="0" w:space="0" w:color="auto"/>
        <w:left w:val="none" w:sz="0" w:space="0" w:color="auto"/>
        <w:bottom w:val="none" w:sz="0" w:space="0" w:color="auto"/>
        <w:right w:val="none" w:sz="0" w:space="0" w:color="auto"/>
      </w:divBdr>
    </w:div>
    <w:div w:id="852305842">
      <w:bodyDiv w:val="1"/>
      <w:marLeft w:val="0"/>
      <w:marRight w:val="0"/>
      <w:marTop w:val="0"/>
      <w:marBottom w:val="0"/>
      <w:divBdr>
        <w:top w:val="none" w:sz="0" w:space="0" w:color="auto"/>
        <w:left w:val="none" w:sz="0" w:space="0" w:color="auto"/>
        <w:bottom w:val="none" w:sz="0" w:space="0" w:color="auto"/>
        <w:right w:val="none" w:sz="0" w:space="0" w:color="auto"/>
      </w:divBdr>
    </w:div>
    <w:div w:id="865675762">
      <w:bodyDiv w:val="1"/>
      <w:marLeft w:val="0"/>
      <w:marRight w:val="0"/>
      <w:marTop w:val="0"/>
      <w:marBottom w:val="0"/>
      <w:divBdr>
        <w:top w:val="none" w:sz="0" w:space="0" w:color="auto"/>
        <w:left w:val="none" w:sz="0" w:space="0" w:color="auto"/>
        <w:bottom w:val="none" w:sz="0" w:space="0" w:color="auto"/>
        <w:right w:val="none" w:sz="0" w:space="0" w:color="auto"/>
      </w:divBdr>
    </w:div>
    <w:div w:id="1640261408">
      <w:bodyDiv w:val="1"/>
      <w:marLeft w:val="0"/>
      <w:marRight w:val="0"/>
      <w:marTop w:val="0"/>
      <w:marBottom w:val="0"/>
      <w:divBdr>
        <w:top w:val="none" w:sz="0" w:space="0" w:color="auto"/>
        <w:left w:val="none" w:sz="0" w:space="0" w:color="auto"/>
        <w:bottom w:val="none" w:sz="0" w:space="0" w:color="auto"/>
        <w:right w:val="none" w:sz="0" w:space="0" w:color="auto"/>
      </w:divBdr>
    </w:div>
    <w:div w:id="1646230428">
      <w:bodyDiv w:val="1"/>
      <w:marLeft w:val="0"/>
      <w:marRight w:val="0"/>
      <w:marTop w:val="0"/>
      <w:marBottom w:val="0"/>
      <w:divBdr>
        <w:top w:val="none" w:sz="0" w:space="0" w:color="auto"/>
        <w:left w:val="none" w:sz="0" w:space="0" w:color="auto"/>
        <w:bottom w:val="none" w:sz="0" w:space="0" w:color="auto"/>
        <w:right w:val="none" w:sz="0" w:space="0" w:color="auto"/>
      </w:divBdr>
    </w:div>
    <w:div w:id="1959069419">
      <w:bodyDiv w:val="1"/>
      <w:marLeft w:val="0"/>
      <w:marRight w:val="0"/>
      <w:marTop w:val="0"/>
      <w:marBottom w:val="0"/>
      <w:divBdr>
        <w:top w:val="none" w:sz="0" w:space="0" w:color="auto"/>
        <w:left w:val="none" w:sz="0" w:space="0" w:color="auto"/>
        <w:bottom w:val="none" w:sz="0" w:space="0" w:color="auto"/>
        <w:right w:val="none" w:sz="0" w:space="0" w:color="auto"/>
      </w:divBdr>
    </w:div>
    <w:div w:id="1992371370">
      <w:bodyDiv w:val="1"/>
      <w:marLeft w:val="0"/>
      <w:marRight w:val="0"/>
      <w:marTop w:val="0"/>
      <w:marBottom w:val="0"/>
      <w:divBdr>
        <w:top w:val="none" w:sz="0" w:space="0" w:color="auto"/>
        <w:left w:val="none" w:sz="0" w:space="0" w:color="auto"/>
        <w:bottom w:val="none" w:sz="0" w:space="0" w:color="auto"/>
        <w:right w:val="none" w:sz="0" w:space="0" w:color="auto"/>
      </w:divBdr>
    </w:div>
    <w:div w:id="2047026621">
      <w:bodyDiv w:val="1"/>
      <w:marLeft w:val="0"/>
      <w:marRight w:val="0"/>
      <w:marTop w:val="0"/>
      <w:marBottom w:val="0"/>
      <w:divBdr>
        <w:top w:val="none" w:sz="0" w:space="0" w:color="auto"/>
        <w:left w:val="none" w:sz="0" w:space="0" w:color="auto"/>
        <w:bottom w:val="none" w:sz="0" w:space="0" w:color="auto"/>
        <w:right w:val="none" w:sz="0" w:space="0" w:color="auto"/>
      </w:divBdr>
    </w:div>
    <w:div w:id="20730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vailsuisse.ch/fr/about/mitgliedsverba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AC6C2-06D4-44F4-9AC7-531674AC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32E5C101</Template>
  <TotalTime>1</TotalTime>
  <Pages>4</Pages>
  <Words>1961</Words>
  <Characters>10791</Characters>
  <Application>Microsoft Office Word</Application>
  <DocSecurity>4</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Hospice Général</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Cervoni, Sabina</dc:creator>
  <cp:keywords/>
  <dc:description/>
  <cp:lastModifiedBy>Cervoni, Sabina</cp:lastModifiedBy>
  <cp:revision>2</cp:revision>
  <dcterms:created xsi:type="dcterms:W3CDTF">2022-07-01T09:32:00Z</dcterms:created>
  <dcterms:modified xsi:type="dcterms:W3CDTF">2022-07-01T09:32:00Z</dcterms:modified>
</cp:coreProperties>
</file>